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D53B3" w14:textId="7A50C847" w:rsidR="001A73E6" w:rsidRPr="00EA4CBB" w:rsidRDefault="00CD4F51">
      <w:pPr>
        <w:pStyle w:val="Title"/>
        <w:rPr>
          <w:lang w:val="fr-CH"/>
        </w:rPr>
      </w:pPr>
      <w:r w:rsidRPr="00EA4CBB">
        <w:rPr>
          <w:bCs/>
          <w:lang w:val="fr-CH"/>
        </w:rPr>
        <w:t>Hibiwash, solution pour application sur la peau</w:t>
      </w:r>
    </w:p>
    <w:p w14:paraId="42B0A2CA" w14:textId="713D4C7C" w:rsidR="001A73E6" w:rsidRPr="00EA4CBB" w:rsidRDefault="001965E2">
      <w:pPr>
        <w:pStyle w:val="Heading1"/>
        <w:rPr>
          <w:lang w:val="fr-CH"/>
        </w:rPr>
      </w:pPr>
      <w:r w:rsidRPr="00EA4CBB">
        <w:rPr>
          <w:bCs/>
          <w:lang w:val="fr-CH"/>
        </w:rPr>
        <w:t>Composition</w:t>
      </w:r>
    </w:p>
    <w:p w14:paraId="0D61F208" w14:textId="2EE95B39" w:rsidR="001A73E6" w:rsidRPr="00EA4CBB" w:rsidRDefault="003F50E8">
      <w:pPr>
        <w:rPr>
          <w:lang w:val="fr-CH"/>
        </w:rPr>
      </w:pPr>
      <w:r w:rsidRPr="00EA4CBB">
        <w:rPr>
          <w:i/>
          <w:iCs/>
          <w:lang w:val="fr-CH"/>
        </w:rPr>
        <w:t>Principes actifs</w:t>
      </w:r>
    </w:p>
    <w:p w14:paraId="018EDDCC" w14:textId="77777777" w:rsidR="001A73E6" w:rsidRPr="00EA4CBB" w:rsidRDefault="00FF059E">
      <w:pPr>
        <w:rPr>
          <w:lang w:val="fr-CH"/>
        </w:rPr>
      </w:pPr>
      <w:proofErr w:type="spellStart"/>
      <w:proofErr w:type="gramStart"/>
      <w:r w:rsidRPr="00EA4CBB">
        <w:rPr>
          <w:lang w:val="fr-CH"/>
        </w:rPr>
        <w:t>digluconate</w:t>
      </w:r>
      <w:proofErr w:type="spellEnd"/>
      <w:proofErr w:type="gramEnd"/>
      <w:r w:rsidRPr="00EA4CBB">
        <w:rPr>
          <w:lang w:val="fr-CH"/>
        </w:rPr>
        <w:t xml:space="preserve"> de chlorhexidine</w:t>
      </w:r>
    </w:p>
    <w:p w14:paraId="60DF9A1F" w14:textId="77777777" w:rsidR="001A73E6" w:rsidRPr="00EA4CBB" w:rsidRDefault="00FF059E">
      <w:pPr>
        <w:rPr>
          <w:lang w:val="fr-CH"/>
        </w:rPr>
      </w:pPr>
      <w:r w:rsidRPr="00EA4CBB">
        <w:rPr>
          <w:i/>
          <w:iCs/>
          <w:lang w:val="fr-CH"/>
        </w:rPr>
        <w:t>Excipients</w:t>
      </w:r>
    </w:p>
    <w:p w14:paraId="12F28773" w14:textId="6E20D970" w:rsidR="00B30C11" w:rsidRPr="00EA4CBB" w:rsidRDefault="00B30C11">
      <w:pPr>
        <w:rPr>
          <w:lang w:val="fr-CH"/>
        </w:rPr>
      </w:pPr>
      <w:proofErr w:type="gramStart"/>
      <w:r w:rsidRPr="00EA4CBB">
        <w:rPr>
          <w:lang w:val="fr-CH"/>
        </w:rPr>
        <w:t>poloxamère</w:t>
      </w:r>
      <w:proofErr w:type="gramEnd"/>
      <w:r w:rsidRPr="00EA4CBB">
        <w:rPr>
          <w:lang w:val="fr-CH"/>
        </w:rPr>
        <w:t>, alcool isopropylique, oxyde de cocamidopropylamine, glycérine (E 422), cocoate de macrogol-7-glycérine, D-gluconolactone, hydroxyde de sodium (pour ajuster le pH) (E 524) et eau purifiée. </w:t>
      </w:r>
    </w:p>
    <w:p w14:paraId="17E5FD47" w14:textId="53073BBE" w:rsidR="001A73E6" w:rsidRPr="00EA4CBB" w:rsidRDefault="001965E2" w:rsidP="2BC7640C">
      <w:pPr>
        <w:pStyle w:val="Heading1"/>
        <w:rPr>
          <w:lang w:val="fr-CH"/>
        </w:rPr>
      </w:pPr>
      <w:r w:rsidRPr="00EA4CBB">
        <w:rPr>
          <w:bCs/>
          <w:lang w:val="fr-CH"/>
        </w:rPr>
        <w:t xml:space="preserve">Forme pharmaceutique et </w:t>
      </w:r>
      <w:r w:rsidR="003F50E8" w:rsidRPr="00EA4CBB">
        <w:rPr>
          <w:bCs/>
          <w:lang w:val="fr-CH"/>
        </w:rPr>
        <w:t>quantité de principe actif par unité</w:t>
      </w:r>
    </w:p>
    <w:p w14:paraId="6D323FF7" w14:textId="3AFF4FE1" w:rsidR="001A73E6" w:rsidRPr="00EA4CBB" w:rsidRDefault="75DEA438">
      <w:pPr>
        <w:rPr>
          <w:lang w:val="fr-CH"/>
        </w:rPr>
      </w:pPr>
      <w:r w:rsidRPr="00EA4CBB">
        <w:rPr>
          <w:lang w:val="fr-CH"/>
        </w:rPr>
        <w:t xml:space="preserve">Solution pour application sur la peau, 1 ml de solution contient 40 mg de </w:t>
      </w:r>
      <w:proofErr w:type="spellStart"/>
      <w:r w:rsidRPr="00EA4CBB">
        <w:rPr>
          <w:lang w:val="fr-CH"/>
        </w:rPr>
        <w:t>digluconate</w:t>
      </w:r>
      <w:proofErr w:type="spellEnd"/>
      <w:r w:rsidRPr="00EA4CBB">
        <w:rPr>
          <w:lang w:val="fr-CH"/>
        </w:rPr>
        <w:t xml:space="preserve"> de chlorhexidine.</w:t>
      </w:r>
    </w:p>
    <w:p w14:paraId="1B15D73D" w14:textId="1A6A79F8" w:rsidR="00CD4F51" w:rsidRPr="00EA4CBB" w:rsidRDefault="001965E2" w:rsidP="00E24D4F">
      <w:pPr>
        <w:pStyle w:val="Heading1"/>
        <w:rPr>
          <w:lang w:val="fr-CH"/>
        </w:rPr>
      </w:pPr>
      <w:r w:rsidRPr="00EA4CBB">
        <w:rPr>
          <w:bCs/>
          <w:lang w:val="fr-CH"/>
        </w:rPr>
        <w:t>Indications/</w:t>
      </w:r>
      <w:r w:rsidR="005D3766" w:rsidRPr="00EA4CBB">
        <w:rPr>
          <w:bCs/>
          <w:lang w:val="fr-CH"/>
        </w:rPr>
        <w:t>P</w:t>
      </w:r>
      <w:r w:rsidRPr="00EA4CBB">
        <w:rPr>
          <w:bCs/>
          <w:lang w:val="fr-CH"/>
        </w:rPr>
        <w:t xml:space="preserve">ossibilités </w:t>
      </w:r>
      <w:r w:rsidR="003F50E8" w:rsidRPr="00EA4CBB">
        <w:rPr>
          <w:bCs/>
          <w:lang w:val="fr-CH"/>
        </w:rPr>
        <w:t>d’emploi</w:t>
      </w:r>
    </w:p>
    <w:p w14:paraId="74F9B5A9" w14:textId="6C09C72C" w:rsidR="001A73E6" w:rsidRPr="00EA4CBB" w:rsidRDefault="003F50E8">
      <w:pPr>
        <w:pStyle w:val="Heading1"/>
        <w:rPr>
          <w:lang w:val="fr-CH"/>
        </w:rPr>
      </w:pPr>
      <w:r w:rsidRPr="00EA4CBB">
        <w:rPr>
          <w:bCs/>
          <w:lang w:val="fr-CH"/>
        </w:rPr>
        <w:t>Posologie/Mode d’emploi</w:t>
      </w:r>
    </w:p>
    <w:p w14:paraId="74E36EA8" w14:textId="2926D7AD" w:rsidR="001A73E6" w:rsidRPr="00EA4CBB" w:rsidRDefault="1C7B67B4">
      <w:pPr>
        <w:rPr>
          <w:lang w:val="fr-CH"/>
        </w:rPr>
      </w:pPr>
      <w:r w:rsidRPr="00EA4CBB">
        <w:rPr>
          <w:i/>
          <w:iCs/>
          <w:lang w:val="fr-CH"/>
        </w:rPr>
        <w:t xml:space="preserve">Désinfection chirurgicale préopératoire des mains </w:t>
      </w:r>
    </w:p>
    <w:p w14:paraId="12826756" w14:textId="14814B10" w:rsidR="001A73E6" w:rsidRPr="00EA4CBB" w:rsidRDefault="1C7B67B4">
      <w:pPr>
        <w:rPr>
          <w:lang w:val="fr-CH"/>
        </w:rPr>
      </w:pPr>
      <w:r w:rsidRPr="00EA4CBB">
        <w:rPr>
          <w:lang w:val="fr-CH"/>
        </w:rPr>
        <w:t>Mouiller les mains et les avant-bras avec de l’eau, les laver soigneusement avec 5 ml d’Hibiwash pendant 1 minute, en nettoyant les ongles à l’aide d’une brosse ou d’un grattoir. Rincer et se laver à nouveau les mains avec 5 ml supplémentaires d’Hibiwash pendant 2 minutes, rincer et sécher soigneusement.</w:t>
      </w:r>
      <w:r w:rsidRPr="00EA4CBB">
        <w:rPr>
          <w:i/>
          <w:iCs/>
          <w:lang w:val="fr-CH"/>
        </w:rPr>
        <w:t xml:space="preserve"> </w:t>
      </w:r>
    </w:p>
    <w:p w14:paraId="2ABB0D1B" w14:textId="522CDB3E" w:rsidR="001A73E6" w:rsidRPr="00EA4CBB" w:rsidRDefault="00FF059E">
      <w:pPr>
        <w:rPr>
          <w:lang w:val="fr-CH"/>
        </w:rPr>
      </w:pPr>
      <w:r w:rsidRPr="00EA4CBB">
        <w:rPr>
          <w:i/>
          <w:iCs/>
          <w:lang w:val="fr-CH"/>
        </w:rPr>
        <w:t xml:space="preserve">Désinfection hygiénique des mains </w:t>
      </w:r>
    </w:p>
    <w:p w14:paraId="64F29042" w14:textId="2B23091A" w:rsidR="001A73E6" w:rsidRPr="00EA4CBB" w:rsidRDefault="00FF059E">
      <w:pPr>
        <w:rPr>
          <w:lang w:val="fr-CH"/>
        </w:rPr>
      </w:pPr>
      <w:r w:rsidRPr="00EA4CBB">
        <w:rPr>
          <w:lang w:val="fr-CH"/>
        </w:rPr>
        <w:t>Mouiller les mains et les avant-bras avec de l’eau, les laver avec 5 ml d’Hibiwash pendant au moins 1 minute, les rincer et sécher soigneusement.</w:t>
      </w:r>
    </w:p>
    <w:p w14:paraId="6C71DDE9" w14:textId="1DE3B9BC" w:rsidR="001A73E6" w:rsidRPr="00EA4CBB" w:rsidRDefault="00FF059E">
      <w:pPr>
        <w:rPr>
          <w:lang w:val="fr-CH"/>
        </w:rPr>
      </w:pPr>
      <w:r w:rsidRPr="00EA4CBB">
        <w:rPr>
          <w:i/>
          <w:iCs/>
          <w:lang w:val="fr-CH"/>
        </w:rPr>
        <w:t>Désinfection par lavage corporel du patient</w:t>
      </w:r>
      <w:r w:rsidRPr="00EA4CBB">
        <w:rPr>
          <w:i/>
          <w:iCs/>
          <w:color w:val="0000FF"/>
          <w:lang w:val="fr-CH"/>
        </w:rPr>
        <w:t xml:space="preserve"> </w:t>
      </w:r>
    </w:p>
    <w:p w14:paraId="282910B6" w14:textId="510B8526" w:rsidR="00EB1484" w:rsidRPr="00EA4CBB" w:rsidRDefault="00EB1484" w:rsidP="00EB1484">
      <w:pPr>
        <w:rPr>
          <w:lang w:val="fr-CH"/>
        </w:rPr>
      </w:pPr>
      <w:r w:rsidRPr="00EA4CBB">
        <w:rPr>
          <w:lang w:val="fr-CH"/>
        </w:rPr>
        <w:t>Le patient se lave tout le corps dans la baignoire ou sous la douche au moins deux fois, généralement la veille et le jour de l’opération, en respectant les consignes suivantes :</w:t>
      </w:r>
    </w:p>
    <w:p w14:paraId="35FF2097" w14:textId="769BF485" w:rsidR="00EB1484" w:rsidRPr="00EA4CBB" w:rsidRDefault="00EB1484" w:rsidP="00EB1484">
      <w:pPr>
        <w:pStyle w:val="ListParagraph"/>
        <w:numPr>
          <w:ilvl w:val="0"/>
          <w:numId w:val="6"/>
        </w:numPr>
      </w:pPr>
      <w:r w:rsidRPr="00EA4CBB">
        <w:rPr>
          <w:lang w:val="fr-CH"/>
        </w:rPr>
        <w:t xml:space="preserve">La veille de l’opération : le patient se prépare avec un lavage corporel complet avec 25 ml d’Hibiwash. Laver d’abord le visage, puis tout le corps de haut en bas, en lavant particulièrement soigneusement le nez, les aisselles, la zone pubienne et le nombril. Ensuite, tout le corps est rincé et lavé à nouveau avec 25 ml supplémentaires d’Hibiwash, en commençant cette fois par les cheveux. Rincer ensuite soigneusement et sécher avec une serviette propre. </w:t>
      </w:r>
    </w:p>
    <w:p w14:paraId="17921D65" w14:textId="18C1F59D" w:rsidR="00EB1484" w:rsidRPr="00EA4CBB" w:rsidRDefault="005F27E8" w:rsidP="00EB1484">
      <w:pPr>
        <w:pStyle w:val="ListParagraph"/>
        <w:numPr>
          <w:ilvl w:val="0"/>
          <w:numId w:val="6"/>
        </w:numPr>
        <w:rPr>
          <w:lang w:val="fr-CH"/>
        </w:rPr>
      </w:pPr>
      <w:r w:rsidRPr="00EA4CBB">
        <w:rPr>
          <w:lang w:val="fr-CH"/>
        </w:rPr>
        <w:t xml:space="preserve">Le jour de l’opération : la procédure décrite ci-dessus est répétée. </w:t>
      </w:r>
    </w:p>
    <w:p w14:paraId="5D49078F" w14:textId="68820DA8" w:rsidR="00350B3A" w:rsidRPr="00EA4CBB" w:rsidRDefault="00FF059E">
      <w:pPr>
        <w:rPr>
          <w:lang w:val="fr-CH"/>
        </w:rPr>
      </w:pPr>
      <w:r w:rsidRPr="00EA4CBB">
        <w:rPr>
          <w:lang w:val="fr-CH"/>
        </w:rPr>
        <w:t>Les patients alités peuvent être lavés à l’aide de la technique habituelle de lavage dans un lit avec Hibiwash. La désinfection préopératoire du site opératoire est effectuée avant l’opération.</w:t>
      </w:r>
    </w:p>
    <w:p w14:paraId="230059CA" w14:textId="29EBAAFD" w:rsidR="00EB1484" w:rsidRPr="00EA4CBB" w:rsidRDefault="00EB1484" w:rsidP="2BC7640C">
      <w:pPr>
        <w:rPr>
          <w:i/>
          <w:iCs/>
          <w:lang w:val="fr-CH"/>
        </w:rPr>
      </w:pPr>
      <w:r w:rsidRPr="00EA4CBB">
        <w:rPr>
          <w:i/>
          <w:iCs/>
          <w:lang w:val="fr-CH"/>
        </w:rPr>
        <w:t>Désinfection préopératoire du site opératoire</w:t>
      </w:r>
    </w:p>
    <w:p w14:paraId="3DDBD20F" w14:textId="3D3A46FB" w:rsidR="00EB1484" w:rsidRPr="00EA4CBB" w:rsidRDefault="00EB1484" w:rsidP="00EB1484">
      <w:pPr>
        <w:rPr>
          <w:lang w:val="fr-CH"/>
        </w:rPr>
      </w:pPr>
      <w:r w:rsidRPr="00EA4CBB">
        <w:rPr>
          <w:lang w:val="fr-CH"/>
        </w:rPr>
        <w:t xml:space="preserve">Éliminer les poils du site opératoire uniquement si nécessaire. </w:t>
      </w:r>
    </w:p>
    <w:p w14:paraId="0C5123AE" w14:textId="6EA95EC0" w:rsidR="001A73E6" w:rsidRPr="00EA4CBB" w:rsidRDefault="00EB1484" w:rsidP="00EB1484">
      <w:pPr>
        <w:rPr>
          <w:lang w:val="fr-CH"/>
        </w:rPr>
      </w:pPr>
      <w:r w:rsidRPr="00EA4CBB">
        <w:rPr>
          <w:lang w:val="fr-CH"/>
        </w:rPr>
        <w:lastRenderedPageBreak/>
        <w:t>Le site opératoire est lavé avec Hibiwash et des écouvillons stériles pendant 2 minutes, puis avec de l’eau stérile. Éliminer la mousse et sécher.</w:t>
      </w:r>
    </w:p>
    <w:p w14:paraId="4D81DAAB" w14:textId="19BE05A8" w:rsidR="00EB1484" w:rsidRPr="00EA4CBB" w:rsidRDefault="00EB1484" w:rsidP="2BC7640C">
      <w:pPr>
        <w:rPr>
          <w:i/>
          <w:iCs/>
          <w:lang w:val="fr-CH"/>
        </w:rPr>
      </w:pPr>
      <w:r w:rsidRPr="00EA4CBB">
        <w:rPr>
          <w:i/>
          <w:iCs/>
          <w:lang w:val="fr-CH"/>
        </w:rPr>
        <w:t>Désinfection cutanée postopératoire du patient</w:t>
      </w:r>
    </w:p>
    <w:p w14:paraId="58EE1162" w14:textId="1580F7A5" w:rsidR="00350B3A" w:rsidRPr="00EA4CBB" w:rsidRDefault="00EB1484" w:rsidP="00EB1484">
      <w:pPr>
        <w:rPr>
          <w:lang w:val="fr-CH"/>
        </w:rPr>
      </w:pPr>
      <w:r w:rsidRPr="00EA4CBB">
        <w:rPr>
          <w:lang w:val="fr-CH"/>
        </w:rPr>
        <w:t>Le patient se lave tout le corps, à l’exception du site opératoire, généralement dans la baignoire ou sous la douche le troisième jour suivant l’opération, selon la procédure décrite ci-dessus.</w:t>
      </w:r>
    </w:p>
    <w:p w14:paraId="0FA93D8D" w14:textId="0EC256BB" w:rsidR="00350B3A" w:rsidRPr="00EA4CBB" w:rsidRDefault="00350B3A">
      <w:pPr>
        <w:spacing w:after="160" w:line="259" w:lineRule="auto"/>
        <w:rPr>
          <w:lang w:val="fr-CH"/>
        </w:rPr>
      </w:pPr>
    </w:p>
    <w:p w14:paraId="11EB9358" w14:textId="11AC0180" w:rsidR="00EB1484" w:rsidRPr="00EA4CBB" w:rsidRDefault="00EB1484" w:rsidP="797C8844">
      <w:pPr>
        <w:rPr>
          <w:i/>
          <w:iCs/>
          <w:lang w:val="fr-CH"/>
        </w:rPr>
      </w:pPr>
      <w:r w:rsidRPr="00EA4CBB">
        <w:rPr>
          <w:i/>
          <w:iCs/>
          <w:lang w:val="fr-CH"/>
        </w:rPr>
        <w:t>Nettoyage de la peau en cas de maladies principalement bactériennes ou surinfectées</w:t>
      </w:r>
    </w:p>
    <w:p w14:paraId="19A72510" w14:textId="2E6DA65B" w:rsidR="00350B3A" w:rsidRPr="00EA4CBB" w:rsidRDefault="00350B3A" w:rsidP="00EB1484">
      <w:pPr>
        <w:rPr>
          <w:lang w:val="fr-CH"/>
        </w:rPr>
      </w:pPr>
      <w:r w:rsidRPr="00EA4CBB">
        <w:rPr>
          <w:lang w:val="fr-CH"/>
        </w:rPr>
        <w:t>Humidifier la zone concernée et appliquer 5 ml d’Hibiwash, puis laver pendant une minute. Rincer abondamment et sécher.</w:t>
      </w:r>
    </w:p>
    <w:p w14:paraId="22342329" w14:textId="408DB081" w:rsidR="007F7E71" w:rsidRPr="00EA4CBB" w:rsidRDefault="007F7E71" w:rsidP="21D2D744">
      <w:pPr>
        <w:rPr>
          <w:i/>
          <w:iCs/>
          <w:lang w:val="fr-CH"/>
        </w:rPr>
      </w:pPr>
      <w:r w:rsidRPr="00EA4CBB">
        <w:rPr>
          <w:i/>
          <w:iCs/>
          <w:lang w:val="fr-CH"/>
        </w:rPr>
        <w:t>Populations pédiatriques et âgées</w:t>
      </w:r>
    </w:p>
    <w:p w14:paraId="690FF94F" w14:textId="37550A64" w:rsidR="007F7E71" w:rsidRPr="00EA4CBB" w:rsidRDefault="007F7E71" w:rsidP="007F7E71">
      <w:pPr>
        <w:rPr>
          <w:lang w:val="fr-CH"/>
        </w:rPr>
      </w:pPr>
      <w:r w:rsidRPr="00EA4CBB">
        <w:rPr>
          <w:lang w:val="fr-CH"/>
        </w:rPr>
        <w:t xml:space="preserve">Il n’existe aucune recommandation posologique pour les patients âgés ou les enfants. La dose adulte normale est appropriée, sauf recommandation contraire du médecin. </w:t>
      </w:r>
    </w:p>
    <w:p w14:paraId="696A15BF" w14:textId="3F93C73A" w:rsidR="007F7E71" w:rsidRPr="00EA4CBB" w:rsidRDefault="007F7E71" w:rsidP="007F7E71">
      <w:pPr>
        <w:rPr>
          <w:lang w:val="fr-CH"/>
        </w:rPr>
      </w:pPr>
      <w:r w:rsidRPr="00EA4CBB">
        <w:rPr>
          <w:lang w:val="fr-CH"/>
        </w:rPr>
        <w:t xml:space="preserve">Pour les prématurés ou les nourrissons de moins de deux mois, utiliser avec précaution :  ce médicament peut provoquer une irritation ou des brûlures chimiques.  </w:t>
      </w:r>
    </w:p>
    <w:p w14:paraId="36BB76BC" w14:textId="6380810E" w:rsidR="001A73E6" w:rsidRPr="00EA4CBB" w:rsidRDefault="001965E2">
      <w:pPr>
        <w:pStyle w:val="Heading1"/>
        <w:rPr>
          <w:lang w:val="fr-CH"/>
        </w:rPr>
      </w:pPr>
      <w:r w:rsidRPr="00EA4CBB">
        <w:rPr>
          <w:bCs/>
          <w:lang w:val="fr-CH"/>
        </w:rPr>
        <w:t>Contre-indications</w:t>
      </w:r>
    </w:p>
    <w:p w14:paraId="50C6C963" w14:textId="43023939" w:rsidR="001A73E6" w:rsidRPr="00EA4CBB" w:rsidRDefault="00FF059E">
      <w:pPr>
        <w:rPr>
          <w:lang w:val="fr-CH"/>
        </w:rPr>
      </w:pPr>
      <w:r w:rsidRPr="00EA4CBB">
        <w:rPr>
          <w:lang w:val="fr-CH"/>
        </w:rPr>
        <w:t xml:space="preserve">Hypersensibilité au </w:t>
      </w:r>
      <w:proofErr w:type="spellStart"/>
      <w:r w:rsidRPr="00EA4CBB">
        <w:rPr>
          <w:lang w:val="fr-CH"/>
        </w:rPr>
        <w:t>digluconate</w:t>
      </w:r>
      <w:proofErr w:type="spellEnd"/>
      <w:r w:rsidRPr="00EA4CBB">
        <w:rPr>
          <w:lang w:val="fr-CH"/>
        </w:rPr>
        <w:t xml:space="preserve"> de chlorhexidine ou à l’un des autres composants.</w:t>
      </w:r>
    </w:p>
    <w:p w14:paraId="7528B28E" w14:textId="234ED191" w:rsidR="001A73E6" w:rsidRPr="00EA4CBB" w:rsidRDefault="007F7E71">
      <w:pPr>
        <w:rPr>
          <w:lang w:val="fr-CH"/>
        </w:rPr>
      </w:pPr>
      <w:r w:rsidRPr="00EA4CBB">
        <w:rPr>
          <w:lang w:val="fr-CH"/>
        </w:rPr>
        <w:t>Hibiwash ne doit pas entrer en contact avec les yeux, le cerveau, les méninges et l’oreille moyenne.</w:t>
      </w:r>
    </w:p>
    <w:p w14:paraId="5FB82FE5" w14:textId="2607C8D6" w:rsidR="001A73E6" w:rsidRPr="00EA4CBB" w:rsidRDefault="003F50E8">
      <w:pPr>
        <w:pStyle w:val="Heading1"/>
        <w:rPr>
          <w:lang w:val="fr-CH"/>
        </w:rPr>
      </w:pPr>
      <w:r w:rsidRPr="00EA4CBB">
        <w:rPr>
          <w:bCs/>
          <w:lang w:val="fr-CH"/>
        </w:rPr>
        <w:t>Mises en garde et précautions</w:t>
      </w:r>
    </w:p>
    <w:p w14:paraId="2FA3ECA4" w14:textId="552188B0" w:rsidR="005974EE" w:rsidRPr="00EA4CBB" w:rsidRDefault="00C01D4C" w:rsidP="005974EE">
      <w:pPr>
        <w:spacing w:after="120"/>
        <w:rPr>
          <w:lang w:val="fr-CH"/>
        </w:rPr>
      </w:pPr>
      <w:r w:rsidRPr="00EA4CBB">
        <w:rPr>
          <w:lang w:val="fr-CH"/>
        </w:rPr>
        <w:t>Réservé à un usage externe. Ce médicament ne doit pas être ingéré.</w:t>
      </w:r>
    </w:p>
    <w:p w14:paraId="3EBA2D77" w14:textId="4245DA76" w:rsidR="005974EE" w:rsidRPr="00EA4CBB" w:rsidRDefault="00C01D4C" w:rsidP="005974EE">
      <w:pPr>
        <w:pStyle w:val="BodyText"/>
        <w:spacing w:before="0" w:after="120" w:line="360" w:lineRule="auto"/>
        <w:ind w:left="0"/>
        <w:rPr>
          <w:rFonts w:ascii="Arial" w:hAnsi="Arial" w:cs="Arial"/>
          <w:lang w:val="fr-FR"/>
        </w:rPr>
      </w:pPr>
      <w:r w:rsidRPr="00EA4CBB">
        <w:rPr>
          <w:rFonts w:ascii="Arial" w:hAnsi="Arial" w:cs="Arial"/>
          <w:lang w:val="fr-CH"/>
        </w:rPr>
        <w:t>Ce médicament ne doit pas être utilisé dans les oreilles, dans la bouche ou sur d’autres muqueuses.</w:t>
      </w:r>
    </w:p>
    <w:p w14:paraId="076F0411" w14:textId="4DA4BA89" w:rsidR="005974EE" w:rsidRPr="00EA4CBB" w:rsidRDefault="00C01D4C" w:rsidP="005974EE">
      <w:pPr>
        <w:pStyle w:val="BodyText"/>
        <w:spacing w:before="0" w:after="120" w:line="360" w:lineRule="auto"/>
        <w:ind w:left="0"/>
        <w:rPr>
          <w:rFonts w:ascii="Arial" w:hAnsi="Arial" w:cs="Arial"/>
          <w:lang w:val="fr-CH"/>
        </w:rPr>
      </w:pPr>
      <w:r w:rsidRPr="00EA4CBB">
        <w:rPr>
          <w:rFonts w:ascii="Arial" w:hAnsi="Arial" w:cs="Arial"/>
          <w:lang w:val="fr-CH"/>
        </w:rPr>
        <w:t xml:space="preserve">Éviter tout contact d’Hibiwash avec les yeux. Des cas graves de lésions cornéennes persistantes nécessitant potentiellement une greffe de cornée </w:t>
      </w:r>
      <w:proofErr w:type="gramStart"/>
      <w:r w:rsidRPr="00EA4CBB">
        <w:rPr>
          <w:rFonts w:ascii="Arial" w:hAnsi="Arial" w:cs="Arial"/>
          <w:lang w:val="fr-CH"/>
        </w:rPr>
        <w:t>ont</w:t>
      </w:r>
      <w:proofErr w:type="gramEnd"/>
      <w:r w:rsidRPr="00EA4CBB">
        <w:rPr>
          <w:rFonts w:ascii="Arial" w:hAnsi="Arial" w:cs="Arial"/>
          <w:lang w:val="fr-CH"/>
        </w:rPr>
        <w:t xml:space="preserve"> été signalés après un contact oculaire accidentel avec des médicaments contenant de la chlorhexidine malgré le respect des mesures de protection oculaire, car la solution s’est répandue au-delà du site opératoire prévu. Lors de l’application, il convient d’être extrêmement prudent et de veiller à ce qu’Hibiwash ne se répande pas au-delà du site d’application prévu et ne pénètre pas dans les yeux. Une attention particulière doit être portée aux patients anesthésiés qui ne sont pas en mesure de signaler immédiatement un contact oculaire.</w:t>
      </w:r>
    </w:p>
    <w:p w14:paraId="48FBA318" w14:textId="3ADDCD4A" w:rsidR="005974EE" w:rsidRPr="00EA4CBB" w:rsidRDefault="00D357DF" w:rsidP="005974EE">
      <w:pPr>
        <w:pStyle w:val="BodyText"/>
        <w:spacing w:before="0" w:after="120" w:line="360" w:lineRule="auto"/>
        <w:ind w:left="0"/>
        <w:rPr>
          <w:rFonts w:ascii="Arial" w:hAnsi="Arial" w:cs="Arial"/>
          <w:lang w:val="fr-FR"/>
        </w:rPr>
      </w:pPr>
      <w:r w:rsidRPr="00EA4CBB">
        <w:rPr>
          <w:rFonts w:ascii="Arial" w:hAnsi="Arial" w:cs="Arial"/>
          <w:lang w:val="fr-CH"/>
        </w:rPr>
        <w:t>En cas de contact accidentel avec les yeux ou les oreilles, rincez immédiatement et abondamment à l’eau. En cas de contact avec les yeux, consulter un ophtalmologue.</w:t>
      </w:r>
    </w:p>
    <w:p w14:paraId="78AC9BEB" w14:textId="718779FB" w:rsidR="005974EE" w:rsidRPr="00EA4CBB" w:rsidRDefault="00D357DF" w:rsidP="005974EE">
      <w:pPr>
        <w:pStyle w:val="BodyText"/>
        <w:spacing w:before="0" w:after="120" w:line="360" w:lineRule="auto"/>
        <w:ind w:left="0"/>
        <w:rPr>
          <w:rFonts w:ascii="Arial" w:hAnsi="Arial" w:cs="Arial"/>
          <w:lang w:val="fr-FR"/>
        </w:rPr>
      </w:pPr>
      <w:r w:rsidRPr="00EA4CBB">
        <w:rPr>
          <w:rFonts w:ascii="Arial" w:hAnsi="Arial" w:cs="Arial"/>
          <w:lang w:val="fr-CH"/>
        </w:rPr>
        <w:t>Chez les patients souffrant de lésions crâniennes ou médullaires ou présentant une perforation du tympan, l’intérêt d’un traitement préopératoire doit être évalué par rapport au risque de contact.</w:t>
      </w:r>
    </w:p>
    <w:p w14:paraId="10E67C29" w14:textId="3FB13725" w:rsidR="005974EE" w:rsidRPr="00EA4CBB" w:rsidRDefault="007A3D24" w:rsidP="005974EE">
      <w:pPr>
        <w:pStyle w:val="BodyText"/>
        <w:spacing w:before="0" w:after="120" w:line="360" w:lineRule="auto"/>
        <w:ind w:left="0" w:right="222"/>
        <w:rPr>
          <w:rFonts w:ascii="Arial" w:hAnsi="Arial" w:cs="Arial"/>
          <w:lang w:val="fr-CH"/>
        </w:rPr>
      </w:pPr>
      <w:r w:rsidRPr="00EA4CBB">
        <w:rPr>
          <w:rFonts w:ascii="Arial" w:hAnsi="Arial" w:cs="Arial"/>
          <w:lang w:val="fr-CH"/>
        </w:rPr>
        <w:t xml:space="preserve">Hibiwash ne doit pas être utilisé sur des plaies profondes et étendues. Bien que l’absorption de la chlorhexidine par la peau soit minimale, le risque d’effets systémiques ne peut être exclu. Ces effets peuvent être amplifiés par une application répétée ou sur une grande surface, des pansements </w:t>
      </w:r>
      <w:r w:rsidRPr="00EA4CBB">
        <w:rPr>
          <w:rFonts w:ascii="Arial" w:hAnsi="Arial" w:cs="Arial"/>
          <w:lang w:val="fr-CH"/>
        </w:rPr>
        <w:lastRenderedPageBreak/>
        <w:t>occlusifs ou une application sur les muqueuses.</w:t>
      </w:r>
    </w:p>
    <w:p w14:paraId="7535F90C" w14:textId="2DA177D7" w:rsidR="005974EE" w:rsidRPr="00EA4CBB" w:rsidRDefault="007A3D24" w:rsidP="005974EE">
      <w:pPr>
        <w:pStyle w:val="BodyText"/>
        <w:spacing w:before="0" w:after="120" w:line="360" w:lineRule="auto"/>
        <w:ind w:left="0"/>
        <w:rPr>
          <w:rFonts w:ascii="Arial" w:hAnsi="Arial" w:cs="Arial"/>
          <w:lang w:val="fr-FR"/>
        </w:rPr>
      </w:pPr>
      <w:r w:rsidRPr="00EA4CBB">
        <w:rPr>
          <w:rFonts w:ascii="Arial" w:hAnsi="Arial" w:cs="Arial"/>
          <w:lang w:val="fr-CH"/>
        </w:rPr>
        <w:t>Ne pas utiliser ou injecter dans les cavités corporelles.</w:t>
      </w:r>
    </w:p>
    <w:p w14:paraId="32A03E7E" w14:textId="0E2820A1" w:rsidR="005974EE" w:rsidRPr="00EA4CBB" w:rsidRDefault="007A3D24" w:rsidP="005974EE">
      <w:pPr>
        <w:pStyle w:val="BodyText"/>
        <w:spacing w:before="0" w:after="120" w:line="360" w:lineRule="auto"/>
        <w:ind w:left="0" w:right="274"/>
        <w:rPr>
          <w:rFonts w:ascii="Arial" w:hAnsi="Arial" w:cs="Arial"/>
          <w:lang w:val="fr-CH"/>
        </w:rPr>
      </w:pPr>
      <w:r w:rsidRPr="00EA4CBB">
        <w:rPr>
          <w:rFonts w:ascii="Arial" w:hAnsi="Arial" w:cs="Arial"/>
          <w:lang w:val="fr-CH"/>
        </w:rPr>
        <w:t>Retirer les matériaux, champs opératoires ou casaques imprégnés avant de poursuivre l’intervention. Ne pas utiliser de quantités excessives et veiller à ce que la solution ne s’accumule pas dans les plis de la peau ou sous le patient, ni ne s’écoule sur des lingettes ou d’autres matériaux en contact direct avec le patient. Si des pansements occlusifs doivent être appliqués sur des sites ayant été en contact avec Hibiwash, s’assurer qu’il n’y a pas de résidus de médicament avant d’appliquer le pansement.</w:t>
      </w:r>
    </w:p>
    <w:p w14:paraId="3478771D" w14:textId="21CA64D2" w:rsidR="004E54D2" w:rsidRPr="00EA4CBB" w:rsidRDefault="004E54D2" w:rsidP="005974EE">
      <w:pPr>
        <w:pStyle w:val="BodyText"/>
        <w:spacing w:before="0" w:after="120" w:line="360" w:lineRule="auto"/>
        <w:ind w:left="0" w:right="274"/>
        <w:rPr>
          <w:rFonts w:ascii="Arial" w:hAnsi="Arial" w:cs="Arial"/>
          <w:lang w:val="fr-CH"/>
        </w:rPr>
      </w:pPr>
      <w:r w:rsidRPr="00EA4CBB">
        <w:rPr>
          <w:rFonts w:ascii="Arial" w:hAnsi="Arial" w:cs="Arial"/>
          <w:lang w:val="fr-CH"/>
        </w:rPr>
        <w:t>Une exposition prolongée à la chlorhexidine en raison d’un nettoyage postopératoire insuffisant de la région ou d’une exposition importante (en particulier chez les jeunes patients ou les patients présentant des lésions cutanées) peut sensibiliser les patients. Une réexposition à la chlorhexidine par le biais de produits chirurgicaux ou non chirurgicaux contenant de la chlorhexidine peut contribuer à des réactions d’hypersensibilité retardées, même après plusieurs mois.</w:t>
      </w:r>
    </w:p>
    <w:p w14:paraId="488A2870" w14:textId="5C1D604A" w:rsidR="005974EE" w:rsidRPr="00EA4CBB" w:rsidRDefault="00D50593" w:rsidP="005974EE">
      <w:pPr>
        <w:pStyle w:val="BodyText"/>
        <w:spacing w:before="0" w:after="120" w:line="360" w:lineRule="auto"/>
        <w:ind w:left="0" w:right="222"/>
        <w:rPr>
          <w:rFonts w:ascii="Arial" w:hAnsi="Arial" w:cs="Arial"/>
          <w:lang w:val="fr-CH"/>
        </w:rPr>
      </w:pPr>
      <w:r w:rsidRPr="00EA4CBB">
        <w:rPr>
          <w:rFonts w:ascii="Arial" w:hAnsi="Arial" w:cs="Arial"/>
          <w:lang w:val="fr-CH"/>
        </w:rPr>
        <w:t>Hibiwash est inflammable. L’électrocautérisation ou toute autre procédure générant des sources d’inflammation ne doit être effectuée qu’après un séchage complet.</w:t>
      </w:r>
    </w:p>
    <w:p w14:paraId="3FEE6708" w14:textId="5E10A084" w:rsidR="00D50593" w:rsidRPr="00EA4CBB" w:rsidRDefault="00D50593" w:rsidP="2BC7640C">
      <w:pPr>
        <w:pStyle w:val="BodyText"/>
        <w:spacing w:before="0" w:after="120" w:line="360" w:lineRule="auto"/>
        <w:ind w:left="0" w:right="222"/>
        <w:rPr>
          <w:rFonts w:ascii="Arial" w:hAnsi="Arial" w:cs="Arial"/>
          <w:lang w:val="fr-FR"/>
        </w:rPr>
      </w:pPr>
      <w:r w:rsidRPr="00EA4CBB">
        <w:rPr>
          <w:rFonts w:ascii="Arial" w:hAnsi="Arial" w:cs="Arial"/>
          <w:lang w:val="fr-CH"/>
        </w:rPr>
        <w:t>Ne pas utiliser pour désinfecter du matériel chirurgical.</w:t>
      </w:r>
    </w:p>
    <w:p w14:paraId="0144BDC0" w14:textId="488A3F9F" w:rsidR="00D50593" w:rsidRPr="00EA4CBB" w:rsidRDefault="00196E46" w:rsidP="2BC7640C">
      <w:pPr>
        <w:rPr>
          <w:i/>
          <w:iCs/>
          <w:lang w:val="fr-CH"/>
        </w:rPr>
      </w:pPr>
      <w:r w:rsidRPr="00EA4CBB">
        <w:rPr>
          <w:i/>
          <w:iCs/>
          <w:lang w:val="fr-CH"/>
        </w:rPr>
        <w:t>Enfants et adolescents</w:t>
      </w:r>
    </w:p>
    <w:p w14:paraId="1F3C50B0" w14:textId="7A47BA46" w:rsidR="001A73E6" w:rsidRPr="00EA4CBB" w:rsidRDefault="00D50593">
      <w:pPr>
        <w:rPr>
          <w:lang w:val="fr-CH"/>
        </w:rPr>
      </w:pPr>
      <w:r w:rsidRPr="00EA4CBB">
        <w:rPr>
          <w:lang w:val="fr-CH"/>
        </w:rPr>
        <w:t>Chez les nouveau-nés, l’utilisation de solutions alcooliques ou aqueuses de chlorhexidine pour désinfecter la peau avant une intervention chirurgicale peut entraîner des brûlures chimiques. Selon les cas connus et la littérature publiée, ce risque semble être plus élevé chez les prématurés (nouveau-nés ≤ 32 semaines de grossesse) et pendant les deux premières semaines suivant la naissance.</w:t>
      </w:r>
    </w:p>
    <w:p w14:paraId="67F03BEA" w14:textId="14C10C53" w:rsidR="001A73E6" w:rsidRPr="00EA4CBB" w:rsidRDefault="001965E2">
      <w:pPr>
        <w:pStyle w:val="Heading1"/>
        <w:rPr>
          <w:lang w:val="fr-CH"/>
        </w:rPr>
      </w:pPr>
      <w:r w:rsidRPr="00EA4CBB">
        <w:rPr>
          <w:bCs/>
          <w:lang w:val="fr-CH"/>
        </w:rPr>
        <w:t>Interactions</w:t>
      </w:r>
    </w:p>
    <w:p w14:paraId="0E5B4E10" w14:textId="3AE77157" w:rsidR="00196E46" w:rsidRPr="00EA4CBB" w:rsidRDefault="00196E46">
      <w:pPr>
        <w:rPr>
          <w:lang w:val="fr-CH"/>
        </w:rPr>
      </w:pPr>
      <w:r w:rsidRPr="00EA4CBB">
        <w:rPr>
          <w:lang w:val="fr-CH"/>
        </w:rPr>
        <w:t>Aucune étude d’interaction n’a été réalisée.</w:t>
      </w:r>
    </w:p>
    <w:p w14:paraId="158CDF5A" w14:textId="35DFD61D" w:rsidR="001A73E6" w:rsidRPr="00EA4CBB" w:rsidRDefault="00196E46" w:rsidP="2BC7640C">
      <w:pPr>
        <w:rPr>
          <w:lang w:val="fr-CH"/>
        </w:rPr>
      </w:pPr>
      <w:r w:rsidRPr="00EA4CBB">
        <w:rPr>
          <w:lang w:val="fr-CH"/>
        </w:rPr>
        <w:t>Ce médicament ne doit pas être utilisé en combinaison avec ou après l’utilisation d’autres composés cationiques, de savons et détergents anioniques, d’iode, de sels de métaux lourds et d’acides.</w:t>
      </w:r>
    </w:p>
    <w:p w14:paraId="58612EF9" w14:textId="3EC4382F" w:rsidR="001A73E6" w:rsidRPr="00EA4CBB" w:rsidRDefault="001965E2">
      <w:pPr>
        <w:pStyle w:val="Heading1"/>
        <w:rPr>
          <w:lang w:val="fr-CH"/>
        </w:rPr>
      </w:pPr>
      <w:r w:rsidRPr="00EA4CBB">
        <w:rPr>
          <w:bCs/>
          <w:lang w:val="fr-CH"/>
        </w:rPr>
        <w:t xml:space="preserve">Grossesse, </w:t>
      </w:r>
      <w:r w:rsidR="003F50E8" w:rsidRPr="00EA4CBB">
        <w:rPr>
          <w:bCs/>
          <w:lang w:val="fr-FR"/>
        </w:rPr>
        <w:t>A</w:t>
      </w:r>
      <w:proofErr w:type="spellStart"/>
      <w:r w:rsidRPr="00EA4CBB">
        <w:rPr>
          <w:bCs/>
          <w:lang w:val="fr-CH"/>
        </w:rPr>
        <w:t>llaitement</w:t>
      </w:r>
      <w:proofErr w:type="spellEnd"/>
    </w:p>
    <w:p w14:paraId="2353F7E7" w14:textId="53C87245" w:rsidR="001A73E6" w:rsidRPr="00EA4CBB" w:rsidRDefault="00196E46">
      <w:pPr>
        <w:rPr>
          <w:lang w:val="fr-CH"/>
        </w:rPr>
      </w:pPr>
      <w:r w:rsidRPr="00EA4CBB">
        <w:rPr>
          <w:lang w:val="fr-CH"/>
        </w:rPr>
        <w:t xml:space="preserve">Il n’existe aucune preuve d’effets indésirables sur le fœtus </w:t>
      </w:r>
      <w:proofErr w:type="gramStart"/>
      <w:r w:rsidRPr="00EA4CBB">
        <w:rPr>
          <w:lang w:val="fr-CH"/>
        </w:rPr>
        <w:t>suite à</w:t>
      </w:r>
      <w:proofErr w:type="gramEnd"/>
      <w:r w:rsidRPr="00EA4CBB">
        <w:rPr>
          <w:lang w:val="fr-CH"/>
        </w:rPr>
        <w:t xml:space="preserve"> l’utilisation d’Hibiwash pour la désinfection des mains ou la désinfection du corps entier pendant la grossesse et l’allaitement.</w:t>
      </w:r>
    </w:p>
    <w:p w14:paraId="773A83B7" w14:textId="07514A70" w:rsidR="00862E61" w:rsidRPr="00EA4CBB" w:rsidRDefault="00862E61" w:rsidP="2BC7640C">
      <w:pPr>
        <w:rPr>
          <w:i/>
          <w:iCs/>
          <w:lang w:val="fr-CH"/>
        </w:rPr>
      </w:pPr>
      <w:r w:rsidRPr="00EA4CBB">
        <w:rPr>
          <w:i/>
          <w:iCs/>
          <w:lang w:val="fr-CH"/>
        </w:rPr>
        <w:t>Grossesse</w:t>
      </w:r>
    </w:p>
    <w:p w14:paraId="1D00C71A" w14:textId="6C8A8828" w:rsidR="00862E61" w:rsidRPr="00EA4CBB" w:rsidRDefault="00862E61">
      <w:pPr>
        <w:rPr>
          <w:lang w:val="fr-CH"/>
        </w:rPr>
      </w:pPr>
      <w:r w:rsidRPr="00EA4CBB">
        <w:rPr>
          <w:lang w:val="fr-CH"/>
        </w:rPr>
        <w:t>Aucun effet pendant la grossesse n’est attendu, car l’exposition systémique à la chlorhexidine est négligeable.</w:t>
      </w:r>
    </w:p>
    <w:p w14:paraId="063ECA63" w14:textId="58017EA3" w:rsidR="00862E61" w:rsidRPr="00EA4CBB" w:rsidRDefault="00862E61">
      <w:pPr>
        <w:rPr>
          <w:lang w:val="fr-CH"/>
        </w:rPr>
      </w:pPr>
      <w:r w:rsidRPr="00EA4CBB">
        <w:rPr>
          <w:lang w:val="fr-CH"/>
        </w:rPr>
        <w:t>Hibiwash peut être utilisé pendant la grossesse.</w:t>
      </w:r>
    </w:p>
    <w:p w14:paraId="356AD9E8" w14:textId="7EEA253A" w:rsidR="00862E61" w:rsidRPr="00EA4CBB" w:rsidRDefault="00862E61" w:rsidP="2BC7640C">
      <w:pPr>
        <w:rPr>
          <w:i/>
          <w:iCs/>
          <w:lang w:val="fr-CH"/>
        </w:rPr>
      </w:pPr>
      <w:r w:rsidRPr="00EA4CBB">
        <w:rPr>
          <w:i/>
          <w:iCs/>
          <w:lang w:val="fr-CH"/>
        </w:rPr>
        <w:t>Allaitement</w:t>
      </w:r>
    </w:p>
    <w:p w14:paraId="51AC4349" w14:textId="5A42F74F" w:rsidR="00862E61" w:rsidRPr="00EA4CBB" w:rsidRDefault="00862E61">
      <w:pPr>
        <w:rPr>
          <w:lang w:val="fr-CH"/>
        </w:rPr>
      </w:pPr>
      <w:r w:rsidRPr="00EA4CBB">
        <w:rPr>
          <w:lang w:val="fr-CH"/>
        </w:rPr>
        <w:lastRenderedPageBreak/>
        <w:t>Aucun effet sur les nouveau-nés/nourrissons allaités n’est attendu, car l’exposition systémique de la femme allaitante à la chlorhexidine est négligeable. Les femmes allaitantes doivent éviter l’utilisation sur leurs seins.</w:t>
      </w:r>
    </w:p>
    <w:p w14:paraId="675A0C8B" w14:textId="25F46994" w:rsidR="001A73E6" w:rsidRPr="00EA4CBB" w:rsidRDefault="001965E2">
      <w:pPr>
        <w:pStyle w:val="Heading1"/>
        <w:rPr>
          <w:lang w:val="fr-CH"/>
        </w:rPr>
      </w:pPr>
      <w:r w:rsidRPr="00EA4CBB">
        <w:rPr>
          <w:bCs/>
          <w:lang w:val="fr-CH"/>
        </w:rPr>
        <w:t xml:space="preserve">Effet sur l’aptitude à </w:t>
      </w:r>
      <w:r w:rsidR="003F50E8" w:rsidRPr="00EA4CBB">
        <w:rPr>
          <w:bCs/>
          <w:lang w:val="fr-CH"/>
        </w:rPr>
        <w:t>la conduite et l’utilisation de machines</w:t>
      </w:r>
    </w:p>
    <w:p w14:paraId="7C718D20" w14:textId="73E9C98F" w:rsidR="00862E61" w:rsidRPr="00EA4CBB" w:rsidRDefault="00862E61">
      <w:pPr>
        <w:rPr>
          <w:lang w:val="fr-CH"/>
        </w:rPr>
      </w:pPr>
      <w:r w:rsidRPr="00EA4CBB">
        <w:rPr>
          <w:lang w:val="fr-CH"/>
        </w:rPr>
        <w:t xml:space="preserve">Hibiwash </w:t>
      </w:r>
      <w:proofErr w:type="gramStart"/>
      <w:r w:rsidRPr="00EA4CBB">
        <w:rPr>
          <w:lang w:val="fr-CH"/>
        </w:rPr>
        <w:t>n’a</w:t>
      </w:r>
      <w:proofErr w:type="gramEnd"/>
      <w:r w:rsidRPr="00EA4CBB">
        <w:rPr>
          <w:lang w:val="fr-CH"/>
        </w:rPr>
        <w:t xml:space="preserve"> aucune influence ou une influence négligeable sur la capacité à conduire et à utiliser les machines.</w:t>
      </w:r>
    </w:p>
    <w:p w14:paraId="0B96ACF6" w14:textId="56E42BB0" w:rsidR="001A73E6" w:rsidRPr="00EA4CBB" w:rsidRDefault="001965E2">
      <w:pPr>
        <w:pStyle w:val="Heading1"/>
        <w:rPr>
          <w:color w:val="0000FF"/>
          <w:lang w:val="fr-CH"/>
        </w:rPr>
      </w:pPr>
      <w:r w:rsidRPr="00EA4CBB">
        <w:rPr>
          <w:bCs/>
          <w:lang w:val="fr-CH"/>
        </w:rPr>
        <w:t>Effets indésirables</w:t>
      </w:r>
    </w:p>
    <w:p w14:paraId="788DA9BC" w14:textId="04B00FFD" w:rsidR="00D96CBD" w:rsidRPr="00EA4CBB" w:rsidRDefault="00D96CBD" w:rsidP="00D96CBD">
      <w:pPr>
        <w:pStyle w:val="BodyText"/>
        <w:spacing w:before="0" w:after="120" w:line="360" w:lineRule="auto"/>
        <w:ind w:left="0"/>
        <w:rPr>
          <w:rFonts w:ascii="Arial" w:hAnsi="Arial" w:cs="Arial"/>
          <w:lang w:val="fr-FR"/>
        </w:rPr>
      </w:pPr>
      <w:r w:rsidRPr="00EA4CBB">
        <w:rPr>
          <w:rFonts w:ascii="Arial" w:hAnsi="Arial" w:cs="Arial"/>
          <w:lang w:val="fr-CH"/>
        </w:rPr>
        <w:t>Les effets indésirables suivants ont été décrits dans la littérature scientifique.</w:t>
      </w:r>
    </w:p>
    <w:p w14:paraId="6DB5940B" w14:textId="3D03A141" w:rsidR="00D96CBD" w:rsidRPr="00EA4CBB" w:rsidRDefault="00D96CBD" w:rsidP="00D96CBD">
      <w:pPr>
        <w:pStyle w:val="BodyText"/>
        <w:spacing w:before="0" w:after="120" w:line="360" w:lineRule="auto"/>
        <w:ind w:left="0" w:right="274"/>
        <w:rPr>
          <w:rFonts w:ascii="Arial" w:hAnsi="Arial" w:cs="Arial"/>
          <w:lang w:val="fr-FR"/>
        </w:rPr>
      </w:pPr>
      <w:r w:rsidRPr="00EA4CBB">
        <w:rPr>
          <w:rFonts w:ascii="Arial" w:hAnsi="Arial" w:cs="Arial"/>
          <w:lang w:val="fr-CH"/>
        </w:rPr>
        <w:t>Les catégories de fréquence des effets indésirables sont définies comme suit : très fréquents (≥ 1/10</w:t>
      </w:r>
      <w:proofErr w:type="gramStart"/>
      <w:r w:rsidRPr="00EA4CBB">
        <w:rPr>
          <w:rFonts w:ascii="Arial" w:hAnsi="Arial" w:cs="Arial"/>
          <w:lang w:val="fr-CH"/>
        </w:rPr>
        <w:t>);</w:t>
      </w:r>
      <w:proofErr w:type="gramEnd"/>
      <w:r w:rsidRPr="00EA4CBB">
        <w:rPr>
          <w:rFonts w:ascii="Arial" w:hAnsi="Arial" w:cs="Arial"/>
          <w:lang w:val="fr-CH"/>
        </w:rPr>
        <w:t xml:space="preserve"> fréquents (≥ 1/100, &lt; 1/10</w:t>
      </w:r>
      <w:proofErr w:type="gramStart"/>
      <w:r w:rsidRPr="00EA4CBB">
        <w:rPr>
          <w:rFonts w:ascii="Arial" w:hAnsi="Arial" w:cs="Arial"/>
          <w:lang w:val="fr-CH"/>
        </w:rPr>
        <w:t>);</w:t>
      </w:r>
      <w:proofErr w:type="gramEnd"/>
      <w:r w:rsidRPr="00EA4CBB">
        <w:rPr>
          <w:rFonts w:ascii="Arial" w:hAnsi="Arial" w:cs="Arial"/>
          <w:lang w:val="fr-CH"/>
        </w:rPr>
        <w:t xml:space="preserve"> peu fréquents (≥ 1/1 000, &lt; 1/100</w:t>
      </w:r>
      <w:proofErr w:type="gramStart"/>
      <w:r w:rsidRPr="00EA4CBB">
        <w:rPr>
          <w:rFonts w:ascii="Arial" w:hAnsi="Arial" w:cs="Arial"/>
          <w:lang w:val="fr-CH"/>
        </w:rPr>
        <w:t>);</w:t>
      </w:r>
      <w:proofErr w:type="gramEnd"/>
      <w:r w:rsidRPr="00EA4CBB">
        <w:rPr>
          <w:rFonts w:ascii="Arial" w:hAnsi="Arial" w:cs="Arial"/>
          <w:lang w:val="fr-CH"/>
        </w:rPr>
        <w:t xml:space="preserve"> rares (≥ 1/10 000, &lt; 1/1000</w:t>
      </w:r>
      <w:proofErr w:type="gramStart"/>
      <w:r w:rsidRPr="00EA4CBB">
        <w:rPr>
          <w:rFonts w:ascii="Arial" w:hAnsi="Arial" w:cs="Arial"/>
          <w:lang w:val="fr-CH"/>
        </w:rPr>
        <w:t>);</w:t>
      </w:r>
      <w:proofErr w:type="gramEnd"/>
      <w:r w:rsidRPr="00EA4CBB">
        <w:rPr>
          <w:rFonts w:ascii="Arial" w:hAnsi="Arial" w:cs="Arial"/>
          <w:lang w:val="fr-CH"/>
        </w:rPr>
        <w:t xml:space="preserve"> très rares (&lt; 1/10 000) ou inconnus (la fréquence n’est pas prévisible sur la base des données disponibles).</w:t>
      </w:r>
    </w:p>
    <w:p w14:paraId="69FD68D9" w14:textId="77777777" w:rsidR="00D96CBD" w:rsidRPr="00EA4CBB" w:rsidRDefault="00D96CBD" w:rsidP="00D96CBD">
      <w:pPr>
        <w:pStyle w:val="BodyText"/>
        <w:spacing w:before="0" w:after="120" w:line="360" w:lineRule="auto"/>
        <w:ind w:left="0"/>
        <w:rPr>
          <w:rFonts w:ascii="Arial" w:hAnsi="Arial" w:cs="Arial"/>
          <w:lang w:val="fr-FR"/>
        </w:rPr>
      </w:pPr>
    </w:p>
    <w:tbl>
      <w:tblPr>
        <w:tblW w:w="977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267"/>
        <w:gridCol w:w="6509"/>
      </w:tblGrid>
      <w:tr w:rsidR="00B038A2" w:rsidRPr="00EA4CBB" w14:paraId="1B32B0AC" w14:textId="77777777" w:rsidTr="00EA4CBB">
        <w:trPr>
          <w:cantSplit/>
          <w:trHeight w:val="269"/>
          <w:jc w:val="center"/>
        </w:trPr>
        <w:tc>
          <w:tcPr>
            <w:tcW w:w="3267" w:type="dxa"/>
            <w:vMerge w:val="restart"/>
          </w:tcPr>
          <w:p w14:paraId="39AC3A9A" w14:textId="3D9CCA61" w:rsidR="00D96CBD" w:rsidRPr="00EA4CBB" w:rsidRDefault="00D96CBD" w:rsidP="2BC7640C">
            <w:pPr>
              <w:pStyle w:val="TableParagraph"/>
              <w:spacing w:after="120" w:line="360" w:lineRule="auto"/>
              <w:ind w:left="0"/>
              <w:rPr>
                <w:rFonts w:ascii="Arial" w:hAnsi="Arial" w:cs="Arial"/>
                <w:b/>
                <w:bCs/>
              </w:rPr>
            </w:pPr>
            <w:r w:rsidRPr="00EA4CBB">
              <w:rPr>
                <w:rFonts w:ascii="Arial" w:hAnsi="Arial" w:cs="Arial"/>
                <w:b/>
                <w:bCs/>
                <w:lang w:val="fr-CH"/>
              </w:rPr>
              <w:t>Classe d’organe systémique (SOC)</w:t>
            </w:r>
          </w:p>
        </w:tc>
        <w:tc>
          <w:tcPr>
            <w:tcW w:w="6509" w:type="dxa"/>
          </w:tcPr>
          <w:p w14:paraId="1F5103C2" w14:textId="5F83284B" w:rsidR="00D96CBD" w:rsidRPr="00EA4CBB" w:rsidRDefault="00E0322C" w:rsidP="2BC7640C">
            <w:pPr>
              <w:pStyle w:val="TableParagraph"/>
              <w:spacing w:after="120" w:line="360" w:lineRule="auto"/>
              <w:ind w:left="0"/>
              <w:jc w:val="center"/>
              <w:rPr>
                <w:rFonts w:ascii="Arial" w:hAnsi="Arial" w:cs="Arial"/>
                <w:b/>
                <w:bCs/>
              </w:rPr>
            </w:pPr>
            <w:r w:rsidRPr="00EA4CBB">
              <w:rPr>
                <w:rFonts w:ascii="Arial" w:hAnsi="Arial" w:cs="Arial"/>
                <w:b/>
                <w:bCs/>
                <w:lang w:val="fr-CH"/>
              </w:rPr>
              <w:t>Fréquence</w:t>
            </w:r>
          </w:p>
        </w:tc>
      </w:tr>
      <w:tr w:rsidR="00973B8F" w:rsidRPr="00EA4CBB" w14:paraId="580ACE29" w14:textId="77777777" w:rsidTr="00EA4CBB">
        <w:trPr>
          <w:cantSplit/>
          <w:trHeight w:val="730"/>
          <w:jc w:val="center"/>
        </w:trPr>
        <w:tc>
          <w:tcPr>
            <w:tcW w:w="3267" w:type="dxa"/>
            <w:vMerge/>
          </w:tcPr>
          <w:p w14:paraId="51CFB2E5" w14:textId="77777777" w:rsidR="00973B8F" w:rsidRPr="00EA4CBB" w:rsidRDefault="00973B8F" w:rsidP="00D96CBD">
            <w:pPr>
              <w:spacing w:after="120"/>
            </w:pPr>
          </w:p>
        </w:tc>
        <w:tc>
          <w:tcPr>
            <w:tcW w:w="6509" w:type="dxa"/>
          </w:tcPr>
          <w:p w14:paraId="5D4BAE5B" w14:textId="6D81AE59" w:rsidR="00973B8F" w:rsidRPr="00EA4CBB" w:rsidRDefault="00973B8F" w:rsidP="2BC7640C">
            <w:pPr>
              <w:pStyle w:val="TableParagraph"/>
              <w:spacing w:after="120" w:line="360" w:lineRule="auto"/>
              <w:ind w:left="0"/>
              <w:rPr>
                <w:rFonts w:ascii="Arial" w:hAnsi="Arial" w:cs="Arial"/>
                <w:b/>
                <w:bCs/>
                <w:lang w:val="fr-FR"/>
              </w:rPr>
            </w:pPr>
            <w:r w:rsidRPr="00EA4CBB">
              <w:rPr>
                <w:rFonts w:ascii="Arial" w:hAnsi="Arial" w:cs="Arial"/>
                <w:b/>
                <w:bCs/>
                <w:lang w:val="fr-CH"/>
              </w:rPr>
              <w:t>Non connue</w:t>
            </w:r>
          </w:p>
          <w:p w14:paraId="3B6CB06D" w14:textId="0F393635" w:rsidR="00973B8F" w:rsidRPr="00EA4CBB" w:rsidRDefault="00973B8F" w:rsidP="2BC7640C">
            <w:pPr>
              <w:pStyle w:val="TableParagraph"/>
              <w:spacing w:after="120" w:line="360" w:lineRule="auto"/>
              <w:ind w:left="0" w:right="163"/>
              <w:rPr>
                <w:rFonts w:ascii="Arial" w:hAnsi="Arial" w:cs="Arial"/>
                <w:b/>
                <w:bCs/>
                <w:lang w:val="fr-FR"/>
              </w:rPr>
            </w:pPr>
            <w:r w:rsidRPr="00EA4CBB">
              <w:rPr>
                <w:rFonts w:ascii="Arial" w:hAnsi="Arial" w:cs="Arial"/>
                <w:b/>
                <w:bCs/>
                <w:lang w:val="fr-CH"/>
              </w:rPr>
              <w:t>(Fréquence non estimable sur la base des données disponibles)</w:t>
            </w:r>
          </w:p>
        </w:tc>
      </w:tr>
      <w:tr w:rsidR="005D5169" w:rsidRPr="00EA4CBB" w14:paraId="0B793AE2" w14:textId="77777777" w:rsidTr="00EA4CBB">
        <w:trPr>
          <w:cantSplit/>
          <w:trHeight w:val="999"/>
          <w:jc w:val="center"/>
        </w:trPr>
        <w:tc>
          <w:tcPr>
            <w:tcW w:w="3267" w:type="dxa"/>
          </w:tcPr>
          <w:p w14:paraId="7EC72B10" w14:textId="3BB808C8" w:rsidR="005D5169" w:rsidRPr="00EA4CBB" w:rsidRDefault="005D5169" w:rsidP="003F2809">
            <w:pPr>
              <w:pStyle w:val="TableParagraph"/>
              <w:spacing w:after="120" w:line="360" w:lineRule="auto"/>
              <w:ind w:left="0"/>
              <w:rPr>
                <w:rFonts w:ascii="Arial" w:hAnsi="Arial" w:cs="Arial"/>
              </w:rPr>
            </w:pPr>
            <w:r w:rsidRPr="00EA4CBB">
              <w:rPr>
                <w:rFonts w:ascii="Arial" w:hAnsi="Arial" w:cs="Arial"/>
                <w:lang w:val="fr-CH"/>
              </w:rPr>
              <w:t>Affections du système immunitaire :</w:t>
            </w:r>
          </w:p>
        </w:tc>
        <w:tc>
          <w:tcPr>
            <w:tcW w:w="6509" w:type="dxa"/>
          </w:tcPr>
          <w:p w14:paraId="6511235E" w14:textId="4ADEA8C4" w:rsidR="005D5169" w:rsidRPr="00EA4CBB" w:rsidRDefault="005D5169" w:rsidP="003F2809">
            <w:pPr>
              <w:pStyle w:val="TableParagraph"/>
              <w:spacing w:after="120" w:line="360" w:lineRule="auto"/>
              <w:ind w:left="0"/>
              <w:rPr>
                <w:rFonts w:ascii="Arial" w:hAnsi="Arial" w:cs="Arial"/>
                <w:lang w:val="fr-FR"/>
              </w:rPr>
            </w:pPr>
            <w:r w:rsidRPr="00EA4CBB">
              <w:rPr>
                <w:rFonts w:ascii="Arial" w:hAnsi="Arial" w:cs="Arial"/>
                <w:lang w:val="fr-CH"/>
              </w:rPr>
              <w:t>Hypersensibilité, y compris choc anaphylactique.</w:t>
            </w:r>
          </w:p>
          <w:p w14:paraId="5D86BBE4" w14:textId="0469809D" w:rsidR="005D5169" w:rsidRPr="00EA4CBB" w:rsidRDefault="005D5169" w:rsidP="003F2809">
            <w:pPr>
              <w:pStyle w:val="TableParagraph"/>
              <w:spacing w:after="120" w:line="360" w:lineRule="auto"/>
              <w:ind w:left="0" w:right="163"/>
              <w:rPr>
                <w:rFonts w:ascii="Arial" w:hAnsi="Arial" w:cs="Arial"/>
                <w:lang w:val="fr-FR"/>
              </w:rPr>
            </w:pPr>
            <w:r w:rsidRPr="00EA4CBB">
              <w:rPr>
                <w:rFonts w:ascii="Arial" w:hAnsi="Arial" w:cs="Arial"/>
                <w:lang w:val="fr-CH"/>
              </w:rPr>
              <w:t>Hypersensibilité retardée, y compris dermatite de contact allergique</w:t>
            </w:r>
          </w:p>
        </w:tc>
      </w:tr>
      <w:tr w:rsidR="005D5169" w:rsidRPr="00EA4CBB" w14:paraId="5A766286" w14:textId="77777777" w:rsidTr="00EA4CBB">
        <w:trPr>
          <w:cantSplit/>
          <w:trHeight w:val="999"/>
          <w:jc w:val="center"/>
        </w:trPr>
        <w:tc>
          <w:tcPr>
            <w:tcW w:w="3267" w:type="dxa"/>
          </w:tcPr>
          <w:p w14:paraId="6456DA03" w14:textId="08171D46" w:rsidR="005D5169" w:rsidRPr="00EA4CBB" w:rsidRDefault="005D5169" w:rsidP="003F2809">
            <w:pPr>
              <w:pStyle w:val="TableParagraph"/>
              <w:spacing w:after="120" w:line="360" w:lineRule="auto"/>
              <w:ind w:left="0"/>
              <w:rPr>
                <w:rFonts w:ascii="Arial" w:hAnsi="Arial" w:cs="Arial"/>
              </w:rPr>
            </w:pPr>
            <w:r w:rsidRPr="00EA4CBB">
              <w:rPr>
                <w:rFonts w:ascii="Arial" w:hAnsi="Arial" w:cs="Arial"/>
                <w:lang w:val="fr-CH"/>
              </w:rPr>
              <w:t>Troubles de l’œil :</w:t>
            </w:r>
          </w:p>
        </w:tc>
        <w:tc>
          <w:tcPr>
            <w:tcW w:w="6509" w:type="dxa"/>
          </w:tcPr>
          <w:p w14:paraId="77DD2632" w14:textId="1F92BA92" w:rsidR="005D5169" w:rsidRPr="00EA4CBB" w:rsidRDefault="005D5169" w:rsidP="003F2809">
            <w:pPr>
              <w:pStyle w:val="TableParagraph"/>
              <w:spacing w:after="120" w:line="360" w:lineRule="auto"/>
              <w:ind w:left="0"/>
              <w:rPr>
                <w:rFonts w:ascii="Arial" w:hAnsi="Arial" w:cs="Arial"/>
                <w:lang w:val="fr-FR"/>
              </w:rPr>
            </w:pPr>
            <w:r w:rsidRPr="00EA4CBB">
              <w:rPr>
                <w:rFonts w:ascii="Arial" w:hAnsi="Arial" w:cs="Arial"/>
                <w:lang w:val="fr-CH"/>
              </w:rPr>
              <w:t>Érosion de la cornée, défaut épithélial/lésion de la cornée, troubles visuels permanents importants*.</w:t>
            </w:r>
          </w:p>
        </w:tc>
      </w:tr>
      <w:tr w:rsidR="005D5169" w:rsidRPr="00EA4CBB" w14:paraId="5B286A35" w14:textId="77777777" w:rsidTr="00EA4CBB">
        <w:trPr>
          <w:cantSplit/>
          <w:trHeight w:val="500"/>
          <w:jc w:val="center"/>
        </w:trPr>
        <w:tc>
          <w:tcPr>
            <w:tcW w:w="3267" w:type="dxa"/>
          </w:tcPr>
          <w:p w14:paraId="36BB11DD" w14:textId="2794E257" w:rsidR="005D5169" w:rsidRPr="00EA4CBB" w:rsidRDefault="005D5169" w:rsidP="003F2809">
            <w:pPr>
              <w:pStyle w:val="TableParagraph"/>
              <w:spacing w:after="120" w:line="360" w:lineRule="auto"/>
              <w:ind w:left="0" w:right="482"/>
              <w:rPr>
                <w:rFonts w:ascii="Arial" w:hAnsi="Arial" w:cs="Arial"/>
                <w:lang w:val="fr-FR"/>
              </w:rPr>
            </w:pPr>
            <w:r w:rsidRPr="00EA4CBB">
              <w:rPr>
                <w:rFonts w:ascii="Arial" w:hAnsi="Arial" w:cs="Arial"/>
                <w:lang w:val="fr-CH"/>
              </w:rPr>
              <w:t>Blessures, intoxications et complications liées à l’intervention :</w:t>
            </w:r>
          </w:p>
        </w:tc>
        <w:tc>
          <w:tcPr>
            <w:tcW w:w="6509" w:type="dxa"/>
          </w:tcPr>
          <w:p w14:paraId="0FB49D4D" w14:textId="23AA0AE3" w:rsidR="005D5169" w:rsidRPr="00EA4CBB" w:rsidRDefault="005D5169" w:rsidP="003F2809">
            <w:pPr>
              <w:pStyle w:val="TableParagraph"/>
              <w:spacing w:after="120" w:line="360" w:lineRule="auto"/>
              <w:ind w:left="0"/>
              <w:rPr>
                <w:rFonts w:ascii="Arial" w:hAnsi="Arial" w:cs="Arial"/>
                <w:lang w:val="fr-FR"/>
              </w:rPr>
            </w:pPr>
            <w:r w:rsidRPr="00EA4CBB">
              <w:rPr>
                <w:rFonts w:ascii="Arial" w:hAnsi="Arial" w:cs="Arial"/>
                <w:lang w:val="fr-CH"/>
              </w:rPr>
              <w:t>Brûlures chimiques chez les nouveau-nés.</w:t>
            </w:r>
          </w:p>
        </w:tc>
      </w:tr>
      <w:tr w:rsidR="005D5169" w:rsidRPr="00EA4CBB" w14:paraId="7FCF23F6" w14:textId="77777777" w:rsidTr="00EA4CBB">
        <w:trPr>
          <w:cantSplit/>
          <w:trHeight w:val="730"/>
          <w:jc w:val="center"/>
        </w:trPr>
        <w:tc>
          <w:tcPr>
            <w:tcW w:w="3267" w:type="dxa"/>
          </w:tcPr>
          <w:p w14:paraId="5E479DB4" w14:textId="6EEC3414" w:rsidR="005D5169" w:rsidRPr="00EA4CBB" w:rsidRDefault="005D5169" w:rsidP="003F2809">
            <w:pPr>
              <w:pStyle w:val="TableParagraph"/>
              <w:spacing w:after="120" w:line="360" w:lineRule="auto"/>
              <w:ind w:left="0"/>
              <w:rPr>
                <w:rFonts w:ascii="Arial" w:hAnsi="Arial" w:cs="Arial"/>
                <w:lang w:val="fr-FR"/>
              </w:rPr>
            </w:pPr>
            <w:r w:rsidRPr="00EA4CBB">
              <w:rPr>
                <w:rFonts w:ascii="Arial" w:hAnsi="Arial" w:cs="Arial"/>
                <w:lang w:val="fr-CH"/>
              </w:rPr>
              <w:t>Affections de la peau et du tissu sous-cutané :</w:t>
            </w:r>
          </w:p>
        </w:tc>
        <w:tc>
          <w:tcPr>
            <w:tcW w:w="6509" w:type="dxa"/>
          </w:tcPr>
          <w:p w14:paraId="6BA0827B" w14:textId="35E5CD36" w:rsidR="005D5169" w:rsidRPr="00EA4CBB" w:rsidRDefault="005D5169" w:rsidP="003F2809">
            <w:pPr>
              <w:pStyle w:val="TableParagraph"/>
              <w:spacing w:after="120" w:line="360" w:lineRule="auto"/>
              <w:ind w:left="0" w:right="95"/>
              <w:rPr>
                <w:rFonts w:ascii="Arial" w:hAnsi="Arial" w:cs="Arial"/>
                <w:lang w:val="fr-FR"/>
              </w:rPr>
            </w:pPr>
            <w:r w:rsidRPr="00EA4CBB">
              <w:rPr>
                <w:rFonts w:ascii="Arial" w:hAnsi="Arial" w:cs="Arial"/>
                <w:lang w:val="fr-CH"/>
              </w:rPr>
              <w:t>Réactions cutanées allergiques telles que dermatite, prurit, érythème, eczéma, rash cutané, urticaire, irritation cutanée et vésication.</w:t>
            </w:r>
          </w:p>
        </w:tc>
      </w:tr>
    </w:tbl>
    <w:p w14:paraId="1C307DC5" w14:textId="7FE896BB" w:rsidR="00D96CBD" w:rsidRPr="00EA4CBB" w:rsidRDefault="00D96CBD" w:rsidP="003F2809">
      <w:pPr>
        <w:pStyle w:val="BodyText"/>
        <w:spacing w:before="0" w:after="120" w:line="360" w:lineRule="auto"/>
        <w:ind w:left="0"/>
        <w:rPr>
          <w:rFonts w:ascii="Arial" w:hAnsi="Arial" w:cs="Arial"/>
          <w:lang w:val="fr-CH"/>
        </w:rPr>
      </w:pPr>
      <w:r w:rsidRPr="00EA4CBB">
        <w:rPr>
          <w:rFonts w:ascii="Arial" w:hAnsi="Arial" w:cs="Arial"/>
          <w:lang w:val="fr-CH"/>
        </w:rPr>
        <w:t>Note de bas de page : Des cas d’érosion de la cornée sévère et de troubles visuels importants et permanents dus au contact accidentel avec les yeux ont été signalés après la mise sur le marché, ce qui a nécessité une greffe de cornée chez certains patients.</w:t>
      </w:r>
    </w:p>
    <w:p w14:paraId="0B9BDF9F" w14:textId="40BF7E8F" w:rsidR="00B93C60" w:rsidRPr="00EA4CBB" w:rsidRDefault="00BD3C11" w:rsidP="00B93C60">
      <w:pPr>
        <w:pStyle w:val="Heading1"/>
        <w:rPr>
          <w:rFonts w:eastAsia="Times New Roman"/>
          <w:b w:val="0"/>
          <w:noProof/>
          <w:szCs w:val="22"/>
          <w:lang w:val="fr-CH"/>
        </w:rPr>
      </w:pPr>
      <w:r w:rsidRPr="00EA4CBB">
        <w:rPr>
          <w:rFonts w:eastAsia="Times New Roman"/>
          <w:b w:val="0"/>
          <w:szCs w:val="22"/>
          <w:lang w:val="fr-CH"/>
        </w:rPr>
        <w:lastRenderedPageBreak/>
        <w:t xml:space="preserve">L’annonce d’effets secondaires présumés après l’autorisation est d’une grande importance. Elle permet un suivi continu du rapport bénéfice-risque du médicament. Les professionnels de santé sont tenus de déclarer toute suspicion d’effet secondaire nouveau ou grave via le portail d’annonce en ligne </w:t>
      </w:r>
      <w:proofErr w:type="spellStart"/>
      <w:r w:rsidRPr="00EA4CBB">
        <w:rPr>
          <w:rFonts w:eastAsia="Times New Roman"/>
          <w:b w:val="0"/>
          <w:szCs w:val="22"/>
          <w:lang w:val="fr-CH"/>
        </w:rPr>
        <w:t>ElViS</w:t>
      </w:r>
      <w:proofErr w:type="spellEnd"/>
      <w:r w:rsidRPr="00EA4CBB">
        <w:rPr>
          <w:rFonts w:eastAsia="Times New Roman"/>
          <w:b w:val="0"/>
          <w:szCs w:val="22"/>
          <w:lang w:val="fr-CH"/>
        </w:rPr>
        <w:t xml:space="preserve"> (</w:t>
      </w:r>
      <w:proofErr w:type="spellStart"/>
      <w:r w:rsidRPr="00EA4CBB">
        <w:rPr>
          <w:rFonts w:eastAsia="Times New Roman"/>
          <w:b w:val="0"/>
          <w:szCs w:val="22"/>
          <w:lang w:val="fr-CH"/>
        </w:rPr>
        <w:t>Electronic</w:t>
      </w:r>
      <w:proofErr w:type="spellEnd"/>
      <w:r w:rsidRPr="00EA4CBB">
        <w:rPr>
          <w:rFonts w:eastAsia="Times New Roman"/>
          <w:b w:val="0"/>
          <w:szCs w:val="22"/>
          <w:lang w:val="fr-CH"/>
        </w:rPr>
        <w:t xml:space="preserve"> Vigilance System). Vous trouverez des informations à ce sujet sur </w:t>
      </w:r>
      <w:hyperlink r:id="rId12" w:history="1">
        <w:r w:rsidR="00B93C60" w:rsidRPr="00EA4CBB">
          <w:rPr>
            <w:rStyle w:val="Hyperlink"/>
            <w:rFonts w:eastAsia="Times New Roman"/>
            <w:b w:val="0"/>
            <w:noProof/>
            <w:szCs w:val="22"/>
            <w:lang w:val="fr-CH"/>
          </w:rPr>
          <w:t>www.swissmedic.ch</w:t>
        </w:r>
      </w:hyperlink>
      <w:r w:rsidR="00B93C60" w:rsidRPr="00EA4CBB">
        <w:rPr>
          <w:rFonts w:eastAsia="Times New Roman"/>
          <w:b w:val="0"/>
          <w:noProof/>
          <w:szCs w:val="22"/>
          <w:lang w:val="fr-CH"/>
        </w:rPr>
        <w:t>.</w:t>
      </w:r>
    </w:p>
    <w:p w14:paraId="39DE373F" w14:textId="360704FB" w:rsidR="001A73E6" w:rsidRPr="00EA4CBB" w:rsidRDefault="001965E2" w:rsidP="00B93C60">
      <w:pPr>
        <w:pStyle w:val="Heading1"/>
        <w:rPr>
          <w:lang w:val="fr-CH"/>
        </w:rPr>
      </w:pPr>
      <w:r w:rsidRPr="00EA4CBB">
        <w:rPr>
          <w:bCs/>
          <w:lang w:val="fr-CH"/>
        </w:rPr>
        <w:t>Surdosage</w:t>
      </w:r>
    </w:p>
    <w:p w14:paraId="0ECDA86F" w14:textId="54346FC7" w:rsidR="00F50922" w:rsidRPr="00EA4CBB" w:rsidRDefault="00F50922" w:rsidP="00C530BD">
      <w:pPr>
        <w:pStyle w:val="BodyText"/>
        <w:spacing w:before="0" w:after="120" w:line="360" w:lineRule="auto"/>
        <w:ind w:left="0"/>
        <w:rPr>
          <w:rFonts w:ascii="Arial" w:hAnsi="Arial" w:cs="Arial"/>
          <w:lang w:val="fr-FR"/>
        </w:rPr>
      </w:pPr>
      <w:r w:rsidRPr="00EA4CBB">
        <w:rPr>
          <w:rFonts w:ascii="Arial" w:hAnsi="Arial" w:cs="Arial"/>
          <w:lang w:val="fr-CH"/>
        </w:rPr>
        <w:t>Aucun cas de surdosage n’a été signalé pour ce médicament.</w:t>
      </w:r>
    </w:p>
    <w:p w14:paraId="02C36DFD" w14:textId="642519E4" w:rsidR="00F50922" w:rsidRPr="00EA4CBB" w:rsidRDefault="00DC7DA0" w:rsidP="00C530BD">
      <w:pPr>
        <w:pStyle w:val="BodyText"/>
        <w:spacing w:before="0" w:after="120" w:line="360" w:lineRule="auto"/>
        <w:ind w:left="0"/>
        <w:rPr>
          <w:rFonts w:ascii="Arial" w:hAnsi="Arial" w:cs="Arial"/>
          <w:lang w:val="fr-FR"/>
        </w:rPr>
      </w:pPr>
      <w:r w:rsidRPr="00EA4CBB">
        <w:rPr>
          <w:rFonts w:ascii="Arial" w:hAnsi="Arial" w:cs="Arial"/>
          <w:lang w:val="fr-CH"/>
        </w:rPr>
        <w:t>La chlorhexidine est peu résorbée par voie orale, mais peut provoquer une irritation des muqueuses et des douleurs abdominales. Pour inhiber la formation de mousse, il est recommandé d’administrer de la siméticone par voie orale. Après l’ingestion de petites quantités, boire ensuite un peu d’eau (environ 1 dl). En cas d’ingestion accidentelle de grandes quantités, effectuer un rinçage gastrique et protéger la muqueuse gastrique.</w:t>
      </w:r>
    </w:p>
    <w:p w14:paraId="75A9CFEE" w14:textId="47E754C4" w:rsidR="001A73E6" w:rsidRPr="00EA4CBB" w:rsidRDefault="001965E2">
      <w:pPr>
        <w:pStyle w:val="Heading1"/>
        <w:rPr>
          <w:lang w:val="fr-CH"/>
        </w:rPr>
      </w:pPr>
      <w:r w:rsidRPr="00EA4CBB">
        <w:rPr>
          <w:bCs/>
          <w:lang w:val="fr-CH"/>
        </w:rPr>
        <w:t>Propriétés/</w:t>
      </w:r>
      <w:r w:rsidR="00BD3C11" w:rsidRPr="00EA4CBB">
        <w:rPr>
          <w:bCs/>
          <w:lang w:val="fr-CH"/>
        </w:rPr>
        <w:t>E</w:t>
      </w:r>
      <w:r w:rsidRPr="00EA4CBB">
        <w:rPr>
          <w:bCs/>
          <w:lang w:val="fr-CH"/>
        </w:rPr>
        <w:t>ffets</w:t>
      </w:r>
    </w:p>
    <w:p w14:paraId="62D27B8F" w14:textId="2DD92DF3" w:rsidR="001A73E6" w:rsidRPr="00EA4CBB" w:rsidRDefault="00F50922">
      <w:pPr>
        <w:rPr>
          <w:lang w:val="fr-CH"/>
        </w:rPr>
      </w:pPr>
      <w:r w:rsidRPr="00EA4CBB">
        <w:rPr>
          <w:b/>
          <w:bCs/>
          <w:lang w:val="fr-CH"/>
        </w:rPr>
        <w:t xml:space="preserve"> </w:t>
      </w:r>
      <w:r w:rsidRPr="00EA4CBB">
        <w:rPr>
          <w:lang w:val="fr-CH"/>
        </w:rPr>
        <w:t>Code ATC : D08AC02</w:t>
      </w:r>
    </w:p>
    <w:p w14:paraId="60A3A29E" w14:textId="2F20A875" w:rsidR="004A3CFB" w:rsidRPr="00EA4CBB" w:rsidRDefault="004A3CFB" w:rsidP="2BC7640C">
      <w:pPr>
        <w:rPr>
          <w:i/>
          <w:iCs/>
          <w:lang w:val="fr-CH"/>
        </w:rPr>
      </w:pPr>
      <w:r w:rsidRPr="00EA4CBB">
        <w:rPr>
          <w:i/>
          <w:iCs/>
          <w:lang w:val="fr-CH"/>
        </w:rPr>
        <w:t>Mécanisme d’action</w:t>
      </w:r>
    </w:p>
    <w:p w14:paraId="1DBB221B" w14:textId="42CCBFD6" w:rsidR="00C10223" w:rsidRPr="00EA4CBB" w:rsidRDefault="00FF059E" w:rsidP="004A3CFB">
      <w:pPr>
        <w:rPr>
          <w:lang w:val="fr-CH"/>
        </w:rPr>
      </w:pPr>
      <w:r w:rsidRPr="00EA4CBB">
        <w:rPr>
          <w:lang w:val="fr-CH"/>
        </w:rPr>
        <w:t>Le gluconate de chlorhexidine est un biguanide cationique utilisé comme antiseptique topique. Il a un large effet antimicrobien et est efficace contre un large spectre de bactéries végétatives Gram positives et Gram négatives, de levures, de champignons cutanés et de virus lipophiles. La molécule est chargée positivement et réagit avec les groupes chargés négativement de la surface cellulaire, ce qui détruit l’intégrité de la membrane cellulaire. Par conséquent, la molécule pénètre dans la cellule et provoque une fuite des composants intracellulaires, entraînant la mort cellulaire.</w:t>
      </w:r>
    </w:p>
    <w:p w14:paraId="70318E2F" w14:textId="77777777" w:rsidR="00C10223" w:rsidRPr="00EA4CBB" w:rsidRDefault="00C10223" w:rsidP="004A3CFB">
      <w:pPr>
        <w:rPr>
          <w:lang w:val="fr-CH"/>
        </w:rPr>
      </w:pPr>
      <w:r w:rsidRPr="00EA4CBB">
        <w:rPr>
          <w:lang w:val="fr-CH"/>
        </w:rPr>
        <w:t>La chlorhexidine est inefficace contre les spores bactériennes, sauf à des températures plus élevées.</w:t>
      </w:r>
    </w:p>
    <w:p w14:paraId="5BE56F42" w14:textId="0E082A7A" w:rsidR="00C10223" w:rsidRPr="00EA4CBB" w:rsidRDefault="00D46971" w:rsidP="2BC7640C">
      <w:pPr>
        <w:rPr>
          <w:i/>
          <w:iCs/>
          <w:lang w:val="fr-CH"/>
        </w:rPr>
      </w:pPr>
      <w:r w:rsidRPr="00EA4CBB">
        <w:rPr>
          <w:i/>
          <w:iCs/>
          <w:lang w:val="fr-CH"/>
        </w:rPr>
        <w:t>Pharmacodynamique</w:t>
      </w:r>
    </w:p>
    <w:p w14:paraId="6F1FAD11" w14:textId="40F71939" w:rsidR="00C10223" w:rsidRPr="00EA4CBB" w:rsidRDefault="00C10223" w:rsidP="004A3CFB">
      <w:pPr>
        <w:rPr>
          <w:lang w:val="fr-CH"/>
        </w:rPr>
      </w:pPr>
      <w:r w:rsidRPr="00EA4CBB">
        <w:rPr>
          <w:lang w:val="fr-CH"/>
        </w:rPr>
        <w:t>En raison de ses propriétés cationiques, la chlorhexidine se lie fortement à la peau, aux muqueuses et à d’autres tissus et est très mal absorbée. Aucun taux sanguin mesurable n’a été observé chez l’homme après administration orale. L’absorption transcutanée par la peau intacte est négligeable, le cas échéant.</w:t>
      </w:r>
    </w:p>
    <w:p w14:paraId="01A94CAC" w14:textId="3DB7E86A" w:rsidR="00C10223" w:rsidRPr="00EA4CBB" w:rsidRDefault="00510BEE" w:rsidP="2BC7640C">
      <w:pPr>
        <w:rPr>
          <w:i/>
          <w:iCs/>
          <w:lang w:val="fr-CH"/>
        </w:rPr>
      </w:pPr>
      <w:r w:rsidRPr="00EA4CBB">
        <w:rPr>
          <w:i/>
          <w:iCs/>
          <w:lang w:val="fr-CH"/>
        </w:rPr>
        <w:t>Population pédiatrique</w:t>
      </w:r>
    </w:p>
    <w:p w14:paraId="07C0EB42" w14:textId="0B893D52" w:rsidR="001A73E6" w:rsidRPr="00EA4CBB" w:rsidRDefault="00C10223" w:rsidP="004A3CFB">
      <w:pPr>
        <w:rPr>
          <w:lang w:val="fr-CH"/>
        </w:rPr>
      </w:pPr>
      <w:r w:rsidRPr="00EA4CBB">
        <w:rPr>
          <w:lang w:val="fr-CH"/>
        </w:rPr>
        <w:t>La chlorhexidine topique peut être utilisée chez les enfants et les adolescents.</w:t>
      </w:r>
    </w:p>
    <w:p w14:paraId="0F0DED04" w14:textId="729FB224" w:rsidR="001A73E6" w:rsidRPr="00EA4CBB" w:rsidRDefault="003F50E8">
      <w:pPr>
        <w:pStyle w:val="Heading1"/>
        <w:rPr>
          <w:lang w:val="fr-CH"/>
        </w:rPr>
      </w:pPr>
      <w:r w:rsidRPr="00EA4CBB">
        <w:rPr>
          <w:bCs/>
          <w:lang w:val="fr-CH"/>
        </w:rPr>
        <w:t>P</w:t>
      </w:r>
      <w:r w:rsidR="001965E2" w:rsidRPr="00EA4CBB">
        <w:rPr>
          <w:bCs/>
          <w:lang w:val="fr-CH"/>
        </w:rPr>
        <w:t>harmacocinétique</w:t>
      </w:r>
    </w:p>
    <w:p w14:paraId="48CEDBF1" w14:textId="74CD8F5F" w:rsidR="00294012" w:rsidRPr="00EA4CBB" w:rsidRDefault="00294012" w:rsidP="00294012">
      <w:pPr>
        <w:pStyle w:val="BodyText"/>
        <w:spacing w:before="0" w:after="120" w:line="360" w:lineRule="auto"/>
        <w:ind w:left="0" w:right="222"/>
        <w:rPr>
          <w:rFonts w:ascii="Arial" w:hAnsi="Arial" w:cs="Arial"/>
          <w:lang w:val="fr-CH"/>
        </w:rPr>
      </w:pPr>
      <w:r w:rsidRPr="00EA4CBB">
        <w:rPr>
          <w:rFonts w:ascii="Arial" w:hAnsi="Arial" w:cs="Arial"/>
          <w:lang w:val="fr-CH"/>
        </w:rPr>
        <w:t>L’absorption du gluconate de chlorhexidine par la peau est minime. Des traces de chlorhexidine ont été détectées dans des échantillons de sang de nouveau-nés après un bain dans une solution de chlorhexidine à 4 %, mais aucun effet indésirable systémique dû à l’absorption de chlorhexidine chez l’enfant et l’adolescent n’a été signalé.</w:t>
      </w:r>
    </w:p>
    <w:p w14:paraId="7C0A3250" w14:textId="768D3002" w:rsidR="001A73E6" w:rsidRPr="00EA4CBB" w:rsidRDefault="001965E2">
      <w:pPr>
        <w:pStyle w:val="Heading1"/>
        <w:rPr>
          <w:lang w:val="fr-CH"/>
        </w:rPr>
      </w:pPr>
      <w:r w:rsidRPr="00EA4CBB">
        <w:rPr>
          <w:bCs/>
          <w:lang w:val="fr-CH"/>
        </w:rPr>
        <w:lastRenderedPageBreak/>
        <w:t>Données précliniques</w:t>
      </w:r>
    </w:p>
    <w:p w14:paraId="02DA8452" w14:textId="77777777" w:rsidR="00B93C60" w:rsidRPr="00EA4CBB" w:rsidRDefault="000D06AB" w:rsidP="2BC7640C">
      <w:pPr>
        <w:rPr>
          <w:lang w:val="fr-CH"/>
        </w:rPr>
      </w:pPr>
      <w:r w:rsidRPr="00EA4CBB">
        <w:rPr>
          <w:lang w:val="fr-CH"/>
        </w:rPr>
        <w:t>Les données non cliniques issues des études de pharmacologie de sécurité, toxicologie en administration répétée, génotoxicité, cancérogenèse, et des fonctions de reproduction et de développement, n’ont pas révélé de risque particulier pour l’homme.</w:t>
      </w:r>
    </w:p>
    <w:p w14:paraId="627EA5FB" w14:textId="31D49D73" w:rsidR="001A73E6" w:rsidRPr="00EA4CBB" w:rsidRDefault="003F50E8" w:rsidP="00B93C60">
      <w:pPr>
        <w:pStyle w:val="Heading1"/>
        <w:rPr>
          <w:lang w:val="fr-CH"/>
        </w:rPr>
      </w:pPr>
      <w:r w:rsidRPr="00EA4CBB">
        <w:rPr>
          <w:bCs/>
          <w:lang w:val="fr-CH"/>
        </w:rPr>
        <w:t>Remarques particulières</w:t>
      </w:r>
    </w:p>
    <w:p w14:paraId="2FB27E81" w14:textId="77777777" w:rsidR="001A73E6" w:rsidRPr="00EA4CBB" w:rsidRDefault="00FF059E">
      <w:pPr>
        <w:rPr>
          <w:lang w:val="fr-CH"/>
        </w:rPr>
      </w:pPr>
      <w:r w:rsidRPr="00EA4CBB">
        <w:rPr>
          <w:i/>
          <w:iCs/>
          <w:lang w:val="fr-CH"/>
        </w:rPr>
        <w:t>Incompatibilités</w:t>
      </w:r>
    </w:p>
    <w:p w14:paraId="2E82B91E" w14:textId="4A9AE015" w:rsidR="002D56DB" w:rsidRPr="00EA4CBB" w:rsidRDefault="000D06AB" w:rsidP="002D56DB">
      <w:pPr>
        <w:rPr>
          <w:lang w:val="fr-CH"/>
        </w:rPr>
      </w:pPr>
      <w:r w:rsidRPr="00EA4CBB">
        <w:rPr>
          <w:lang w:val="fr-CH"/>
        </w:rPr>
        <w:t>La chlorhexidine est incompatible avec le savon et d’autres substances anioniques, les tensioactifs non ioniques (polysorbate 80, nonoxynol), les gélifiants (alginates, porteur, carboxyméthylcellulose), antiseptiques et autres molécules (glycérine, préparations de mercure, hexachlorophène, iodophore), ions (magnésium, zinc, calcium), liège (acide humique). Sels et solutions (borate, bicarbonate, carbonate, chlorate, citrate, nitrate, phosphate, sulfate) entraînent une précipitation. La chlorhexidine est adsorbée sur les matériaux filtrants (frittes de verre, papier et autres matériaux cellulosiques) et divers autres matériaux (polyhydroxyméthylméthacrylate, polypropylène, polyéthylène, aluminium, acier inoxydable, kaolin, silicate de magnésium et d’aluminium).</w:t>
      </w:r>
    </w:p>
    <w:p w14:paraId="1B35A090" w14:textId="68047276" w:rsidR="001A73E6" w:rsidRPr="00EA4CBB" w:rsidRDefault="001A73E6" w:rsidP="000D06AB">
      <w:pPr>
        <w:rPr>
          <w:lang w:val="fr-CH"/>
        </w:rPr>
      </w:pPr>
    </w:p>
    <w:p w14:paraId="735D80A9" w14:textId="7FC48775" w:rsidR="001A73E6" w:rsidRPr="00EA4CBB" w:rsidRDefault="00FF059E">
      <w:pPr>
        <w:rPr>
          <w:lang w:val="fr-CH"/>
        </w:rPr>
      </w:pPr>
      <w:r w:rsidRPr="00EA4CBB">
        <w:rPr>
          <w:lang w:val="fr-CH"/>
        </w:rPr>
        <w:t>Le linge qui a été en contact avec Hibiwash ne doit pas être traité avec de l’hypochlorite, mais avec du peroxyde ou du perborate doux pour les textiles, car cela pourrait entraîner des taches brunes.</w:t>
      </w:r>
    </w:p>
    <w:p w14:paraId="651DD71E" w14:textId="6913AC9C" w:rsidR="001A73E6" w:rsidRPr="00EA4CBB" w:rsidRDefault="00D46971" w:rsidP="21D2D744">
      <w:pPr>
        <w:rPr>
          <w:i/>
          <w:iCs/>
          <w:lang w:val="fr-CH"/>
        </w:rPr>
      </w:pPr>
      <w:r w:rsidRPr="00EA4CBB">
        <w:rPr>
          <w:i/>
          <w:iCs/>
          <w:lang w:val="fr-CH"/>
        </w:rPr>
        <w:t>Stabilité</w:t>
      </w:r>
    </w:p>
    <w:p w14:paraId="600113AD" w14:textId="3DD49921" w:rsidR="001928AE" w:rsidRPr="00EA4CBB" w:rsidRDefault="00FF059E">
      <w:pPr>
        <w:rPr>
          <w:lang w:val="fr-CH"/>
        </w:rPr>
      </w:pPr>
      <w:r w:rsidRPr="00EA4CBB">
        <w:rPr>
          <w:lang w:val="fr-CH"/>
        </w:rPr>
        <w:t>Le médicament ne doit être utilisé que jusqu’à la date indiquée par</w:t>
      </w:r>
      <w:proofErr w:type="gramStart"/>
      <w:r w:rsidRPr="00EA4CBB">
        <w:rPr>
          <w:lang w:val="fr-CH"/>
        </w:rPr>
        <w:t xml:space="preserve"> «EXP</w:t>
      </w:r>
      <w:proofErr w:type="gramEnd"/>
      <w:r w:rsidRPr="00EA4CBB">
        <w:rPr>
          <w:lang w:val="fr-CH"/>
        </w:rPr>
        <w:t>» sur l’emballage.</w:t>
      </w:r>
    </w:p>
    <w:p w14:paraId="5A91D59B" w14:textId="771B0AED" w:rsidR="001A73E6" w:rsidRPr="00EA4CBB" w:rsidRDefault="00D46971" w:rsidP="21D2D744">
      <w:pPr>
        <w:rPr>
          <w:i/>
          <w:iCs/>
          <w:lang w:val="fr-CH"/>
        </w:rPr>
      </w:pPr>
      <w:r w:rsidRPr="00EA4CBB">
        <w:rPr>
          <w:i/>
          <w:iCs/>
          <w:lang w:val="fr-CH"/>
        </w:rPr>
        <w:t>Remarques particulières concernant le stockage</w:t>
      </w:r>
    </w:p>
    <w:p w14:paraId="27BC72E7" w14:textId="42C8701A" w:rsidR="001A73E6" w:rsidRPr="00EA4CBB" w:rsidRDefault="00BD3C11">
      <w:pPr>
        <w:rPr>
          <w:lang w:val="fr-CH"/>
        </w:rPr>
      </w:pPr>
      <w:r w:rsidRPr="00EA4CBB">
        <w:rPr>
          <w:lang w:val="fr-CH"/>
        </w:rPr>
        <w:t>Ne pas conserver au-dessus de 25°C</w:t>
      </w:r>
      <w:r w:rsidR="00FF059E" w:rsidRPr="00EA4CBB">
        <w:rPr>
          <w:lang w:val="fr-CH"/>
        </w:rPr>
        <w:t xml:space="preserve">. </w:t>
      </w:r>
      <w:r w:rsidR="005C3BA7" w:rsidRPr="00EA4CBB">
        <w:rPr>
          <w:lang w:val="fr-CH"/>
        </w:rPr>
        <w:t>Tenir hors de portée des enfants</w:t>
      </w:r>
      <w:r w:rsidR="00FF059E" w:rsidRPr="00EA4CBB">
        <w:rPr>
          <w:lang w:val="fr-CH"/>
        </w:rPr>
        <w:t>. Conserver dans l’emballage d’origine. Ne pas conserver au réfrigérateur, ni congeler.</w:t>
      </w:r>
    </w:p>
    <w:p w14:paraId="65C15D33" w14:textId="4E0845F8" w:rsidR="000300AF" w:rsidRPr="00EA4CBB" w:rsidRDefault="00D46971" w:rsidP="21D2D744">
      <w:pPr>
        <w:rPr>
          <w:i/>
          <w:iCs/>
          <w:lang w:val="fr-CH"/>
        </w:rPr>
      </w:pPr>
      <w:r w:rsidRPr="00EA4CBB">
        <w:rPr>
          <w:i/>
          <w:iCs/>
          <w:lang w:val="fr-CH"/>
        </w:rPr>
        <w:t>Remarques concernant la manipulation</w:t>
      </w:r>
    </w:p>
    <w:p w14:paraId="2C358540" w14:textId="29CAD9ED" w:rsidR="000300AF" w:rsidRPr="00EA4CBB" w:rsidRDefault="000300AF">
      <w:pPr>
        <w:rPr>
          <w:lang w:val="fr-CH"/>
        </w:rPr>
      </w:pPr>
      <w:r w:rsidRPr="00EA4CBB">
        <w:rPr>
          <w:lang w:val="fr-CH"/>
        </w:rPr>
        <w:t xml:space="preserve">Tout </w:t>
      </w:r>
      <w:r w:rsidRPr="00EA4CBB">
        <w:rPr>
          <w:noProof/>
          <w:lang w:val="fr-CH"/>
        </w:rPr>
        <w:t>médicament non utilisé</w:t>
      </w:r>
      <w:r w:rsidRPr="00EA4CBB">
        <w:rPr>
          <w:lang w:val="fr-CH"/>
        </w:rPr>
        <w:t xml:space="preserve"> ou déchet doit être éliminé conformément aux réglementations nationales.</w:t>
      </w:r>
    </w:p>
    <w:p w14:paraId="0390C85C" w14:textId="6875D1F6" w:rsidR="001A73E6" w:rsidRPr="00EA4CBB" w:rsidRDefault="001965E2">
      <w:pPr>
        <w:pStyle w:val="Heading1"/>
        <w:rPr>
          <w:lang w:val="fr-CH"/>
        </w:rPr>
      </w:pPr>
      <w:r w:rsidRPr="00EA4CBB">
        <w:rPr>
          <w:bCs/>
          <w:lang w:val="fr-CH"/>
        </w:rPr>
        <w:t>Numéro d’autorisation</w:t>
      </w:r>
    </w:p>
    <w:p w14:paraId="3DF81887" w14:textId="77777777" w:rsidR="001965E2" w:rsidRPr="00EA4CBB" w:rsidRDefault="002D56DB" w:rsidP="001965E2">
      <w:pPr>
        <w:rPr>
          <w:lang w:val="fr-CH"/>
        </w:rPr>
      </w:pPr>
      <w:r w:rsidRPr="00EA4CBB">
        <w:rPr>
          <w:lang w:val="fr-CH"/>
        </w:rPr>
        <w:t>70182</w:t>
      </w:r>
    </w:p>
    <w:p w14:paraId="185D6CF6" w14:textId="77777777" w:rsidR="003F50E8" w:rsidRPr="00EA4CBB" w:rsidRDefault="003F50E8" w:rsidP="2BC7640C">
      <w:pPr>
        <w:rPr>
          <w:rFonts w:eastAsiaTheme="majorEastAsia"/>
          <w:b/>
          <w:bCs/>
          <w:szCs w:val="32"/>
          <w:lang w:val="fr-CH"/>
        </w:rPr>
      </w:pPr>
      <w:r w:rsidRPr="00EA4CBB">
        <w:rPr>
          <w:rFonts w:eastAsiaTheme="majorEastAsia"/>
          <w:b/>
          <w:bCs/>
          <w:szCs w:val="32"/>
          <w:lang w:val="fr-CH"/>
        </w:rPr>
        <w:t>Présentation</w:t>
      </w:r>
    </w:p>
    <w:p w14:paraId="6538FFA6" w14:textId="0DE153ED" w:rsidR="001A73E6" w:rsidRPr="00EA4CBB" w:rsidRDefault="00FF059E" w:rsidP="2BC7640C">
      <w:pPr>
        <w:rPr>
          <w:lang w:val="fr-CH"/>
        </w:rPr>
      </w:pPr>
      <w:r w:rsidRPr="00EA4CBB">
        <w:rPr>
          <w:lang w:val="fr-CH"/>
        </w:rPr>
        <w:t>Conditionnement de 125 ml, 250 ml, 500 ml ou 5 litres [D]</w:t>
      </w:r>
    </w:p>
    <w:p w14:paraId="56B479FD" w14:textId="5D827FFD" w:rsidR="001A73E6" w:rsidRPr="00EA4CBB" w:rsidRDefault="001965E2">
      <w:pPr>
        <w:pStyle w:val="Heading1"/>
        <w:rPr>
          <w:lang w:val="fr-CH"/>
        </w:rPr>
      </w:pPr>
      <w:r w:rsidRPr="00EA4CBB">
        <w:rPr>
          <w:bCs/>
          <w:lang w:val="fr-CH"/>
        </w:rPr>
        <w:t>Titulaire de l’autorisation</w:t>
      </w:r>
    </w:p>
    <w:p w14:paraId="2719D075" w14:textId="6E2EF50A" w:rsidR="001A73E6" w:rsidRPr="00EA4CBB" w:rsidRDefault="001C79B9" w:rsidP="2BC7640C">
      <w:pPr>
        <w:rPr>
          <w:lang w:val="fr-CH"/>
        </w:rPr>
      </w:pPr>
      <w:hyperlink r:id="rId13" w:tooltip="MÖLNLYCKE HEALTH CARE AG" w:history="1">
        <w:r w:rsidRPr="00EA4CBB">
          <w:rPr>
            <w:rStyle w:val="Hyperlink"/>
            <w:lang w:val="fr-CH"/>
          </w:rPr>
          <w:t>MÖLNLYCKE HEALTH CARE AG</w:t>
        </w:r>
      </w:hyperlink>
      <w:r w:rsidRPr="00EA4CBB">
        <w:rPr>
          <w:lang w:val="fr-CH"/>
        </w:rPr>
        <w:t>, Schlieren</w:t>
      </w:r>
    </w:p>
    <w:p w14:paraId="21B63FD5" w14:textId="568ED43A" w:rsidR="001A73E6" w:rsidRPr="00EA4CBB" w:rsidRDefault="001965E2" w:rsidP="2BC7640C">
      <w:pPr>
        <w:pStyle w:val="Heading1"/>
        <w:rPr>
          <w:lang w:val="fr-CH"/>
        </w:rPr>
      </w:pPr>
      <w:r w:rsidRPr="00EA4CBB">
        <w:rPr>
          <w:bCs/>
          <w:lang w:val="fr-CH"/>
        </w:rPr>
        <w:t>Mise à jour de l’information</w:t>
      </w:r>
    </w:p>
    <w:p w14:paraId="67BB9363" w14:textId="1A7B76F2" w:rsidR="001A73E6" w:rsidRPr="00E24D4F" w:rsidRDefault="002D56DB">
      <w:pPr>
        <w:rPr>
          <w:lang w:val="fr-FR"/>
        </w:rPr>
      </w:pPr>
      <w:r w:rsidRPr="00EA4CBB">
        <w:rPr>
          <w:lang w:val="fr-CH"/>
        </w:rPr>
        <w:t>Mai 2025</w:t>
      </w:r>
    </w:p>
    <w:sectPr w:rsidR="001A73E6" w:rsidRPr="00E24D4F">
      <w:headerReference w:type="default" r:id="rId14"/>
      <w:footerReference w:type="default" r:id="rId15"/>
      <w:pgSz w:w="11907" w:h="16839"/>
      <w:pgMar w:top="1600" w:right="800" w:bottom="1200" w:left="1000" w:header="40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5B139" w14:textId="77777777" w:rsidR="00607C36" w:rsidRDefault="00607C36">
      <w:pPr>
        <w:spacing w:line="240" w:lineRule="auto"/>
      </w:pPr>
      <w:r>
        <w:separator/>
      </w:r>
    </w:p>
  </w:endnote>
  <w:endnote w:type="continuationSeparator" w:id="0">
    <w:p w14:paraId="1B63B81C" w14:textId="77777777" w:rsidR="00607C36" w:rsidRDefault="00607C36">
      <w:pPr>
        <w:spacing w:line="240" w:lineRule="auto"/>
      </w:pPr>
      <w:r>
        <w:continuationSeparator/>
      </w:r>
    </w:p>
  </w:endnote>
  <w:endnote w:type="continuationNotice" w:id="1">
    <w:p w14:paraId="5F0D8590" w14:textId="77777777" w:rsidR="00607C36" w:rsidRDefault="00607C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89A6" w14:textId="77777777" w:rsidR="00FF059E" w:rsidRDefault="00FF059E">
    <w:pPr>
      <w:pStyle w:val="Footer"/>
      <w:pBdr>
        <w:top w:val="single" w:sz="2" w:space="2" w:color="auto"/>
        <w:bottom w:val="single" w:sz="2" w:space="0" w:color="auto"/>
      </w:pBdr>
      <w:jc w:val="right"/>
    </w:pPr>
    <w:r>
      <w:rPr>
        <w:sz w:val="16"/>
        <w:lang w:val="fr-CH"/>
      </w:rPr>
      <w:fldChar w:fldCharType="begin"/>
    </w:r>
    <w:r>
      <w:rPr>
        <w:sz w:val="16"/>
        <w:lang w:val="fr-CH"/>
      </w:rPr>
      <w:instrText>PAGE</w:instrText>
    </w:r>
    <w:r>
      <w:rPr>
        <w:sz w:val="16"/>
        <w:lang w:val="fr-CH"/>
      </w:rPr>
      <w:fldChar w:fldCharType="separate"/>
    </w:r>
    <w:r>
      <w:rPr>
        <w:noProof/>
        <w:sz w:val="16"/>
        <w:lang w:val="fr-CH"/>
      </w:rPr>
      <w:t>1</w:t>
    </w:r>
    <w:r>
      <w:rPr>
        <w:sz w:val="16"/>
        <w:lang w:val="fr-CH"/>
      </w:rPr>
      <w:fldChar w:fldCharType="end"/>
    </w:r>
    <w:r>
      <w:rPr>
        <w:sz w:val="16"/>
        <w:lang w:val="fr-CH"/>
      </w:rPr>
      <w:t xml:space="preserve"> / </w:t>
    </w:r>
    <w:r>
      <w:rPr>
        <w:sz w:val="16"/>
        <w:lang w:val="fr-CH"/>
      </w:rPr>
      <w:fldChar w:fldCharType="begin"/>
    </w:r>
    <w:r>
      <w:rPr>
        <w:sz w:val="16"/>
        <w:lang w:val="fr-CH"/>
      </w:rPr>
      <w:instrText>NUMPAGES</w:instrText>
    </w:r>
    <w:r>
      <w:rPr>
        <w:sz w:val="16"/>
        <w:lang w:val="fr-CH"/>
      </w:rPr>
      <w:fldChar w:fldCharType="separate"/>
    </w:r>
    <w:r>
      <w:rPr>
        <w:noProof/>
        <w:sz w:val="16"/>
        <w:lang w:val="fr-CH"/>
      </w:rPr>
      <w:t>2</w:t>
    </w:r>
    <w:r>
      <w:rPr>
        <w:sz w:val="16"/>
        <w:lang w:val="fr-CH"/>
      </w:rPr>
      <w:fldChar w:fldCharType="end"/>
    </w:r>
  </w:p>
  <w:p w14:paraId="64145BDA" w14:textId="77777777" w:rsidR="001A73E6" w:rsidRDefault="001A73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AF18D" w14:textId="77777777" w:rsidR="00607C36" w:rsidRDefault="00607C36">
      <w:pPr>
        <w:spacing w:line="240" w:lineRule="auto"/>
      </w:pPr>
      <w:r>
        <w:separator/>
      </w:r>
    </w:p>
  </w:footnote>
  <w:footnote w:type="continuationSeparator" w:id="0">
    <w:p w14:paraId="3D7586BB" w14:textId="77777777" w:rsidR="00607C36" w:rsidRDefault="00607C36">
      <w:pPr>
        <w:spacing w:line="240" w:lineRule="auto"/>
      </w:pPr>
      <w:r>
        <w:continuationSeparator/>
      </w:r>
    </w:p>
  </w:footnote>
  <w:footnote w:type="continuationNotice" w:id="1">
    <w:p w14:paraId="06B3F4BD" w14:textId="77777777" w:rsidR="00607C36" w:rsidRDefault="00607C3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63A3" w14:textId="77777777" w:rsidR="00FF059E" w:rsidRPr="001965E2" w:rsidRDefault="00FF059E">
    <w:pPr>
      <w:pStyle w:val="Header"/>
      <w:pBdr>
        <w:bottom w:val="single" w:sz="4" w:space="2" w:color="auto"/>
      </w:pBdr>
      <w:jc w:val="right"/>
      <w:rPr>
        <w:lang w:val="fr-CH"/>
      </w:rPr>
    </w:pPr>
    <w:r>
      <w:rPr>
        <w:sz w:val="24"/>
        <w:lang w:val="fr-CH"/>
      </w:rPr>
      <w:br/>
    </w:r>
    <w:r>
      <w:rPr>
        <w:sz w:val="24"/>
        <w:lang w:val="fr-CH"/>
      </w:rPr>
      <w:br/>
    </w:r>
    <w:r>
      <w:rPr>
        <w:b/>
        <w:bCs/>
        <w:sz w:val="24"/>
        <w:lang w:val="fr-CH"/>
      </w:rPr>
      <w:t>Résumé des caractéristiques du produit à usage humain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017"/>
    <w:multiLevelType w:val="hybridMultilevel"/>
    <w:tmpl w:val="37ECBD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8345313"/>
    <w:multiLevelType w:val="hybridMultilevel"/>
    <w:tmpl w:val="33DA937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9AE0ADF"/>
    <w:multiLevelType w:val="multilevel"/>
    <w:tmpl w:val="951014DA"/>
    <w:lvl w:ilvl="0">
      <w:start w:val="1"/>
      <w:numFmt w:val="decimal"/>
      <w:pStyle w:val="AufzhlungKstch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23511296"/>
    <w:multiLevelType w:val="multilevel"/>
    <w:tmpl w:val="E0B2D08A"/>
    <w:lvl w:ilvl="0">
      <w:start w:val="1"/>
      <w:numFmt w:val="decimal"/>
      <w:pStyle w:val="FI2"/>
      <w:lvlText w:val="%1."/>
      <w:lvlJc w:val="left"/>
      <w:pPr>
        <w:ind w:left="360" w:hanging="360"/>
      </w:pPr>
    </w:lvl>
    <w:lvl w:ilvl="1">
      <w:start w:val="1"/>
      <w:numFmt w:val="decimal"/>
      <w:pStyle w:val="FI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4768142">
    <w:abstractNumId w:val="2"/>
  </w:num>
  <w:num w:numId="2" w16cid:durableId="966353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77262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1521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66226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1410842">
    <w:abstractNumId w:val="0"/>
  </w:num>
  <w:num w:numId="7" w16cid:durableId="79638981">
    <w:abstractNumId w:val="3"/>
  </w:num>
  <w:num w:numId="8" w16cid:durableId="1240943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3E6"/>
    <w:rsid w:val="00015EAA"/>
    <w:rsid w:val="000300AF"/>
    <w:rsid w:val="00035721"/>
    <w:rsid w:val="000517A2"/>
    <w:rsid w:val="00052CF5"/>
    <w:rsid w:val="00064E7D"/>
    <w:rsid w:val="00081184"/>
    <w:rsid w:val="000A24E8"/>
    <w:rsid w:val="000A7725"/>
    <w:rsid w:val="000D06AB"/>
    <w:rsid w:val="000F4AA5"/>
    <w:rsid w:val="00120516"/>
    <w:rsid w:val="001258DC"/>
    <w:rsid w:val="0014240E"/>
    <w:rsid w:val="00157320"/>
    <w:rsid w:val="00173785"/>
    <w:rsid w:val="00181F4B"/>
    <w:rsid w:val="001928AE"/>
    <w:rsid w:val="001965E2"/>
    <w:rsid w:val="00196E46"/>
    <w:rsid w:val="00196EFF"/>
    <w:rsid w:val="001A73E6"/>
    <w:rsid w:val="001B585F"/>
    <w:rsid w:val="001C39F6"/>
    <w:rsid w:val="001C79B9"/>
    <w:rsid w:val="001D5CED"/>
    <w:rsid w:val="001D7028"/>
    <w:rsid w:val="001D79B4"/>
    <w:rsid w:val="001F1445"/>
    <w:rsid w:val="001F7184"/>
    <w:rsid w:val="002608CA"/>
    <w:rsid w:val="00267112"/>
    <w:rsid w:val="00294012"/>
    <w:rsid w:val="002A0BDE"/>
    <w:rsid w:val="002D56DB"/>
    <w:rsid w:val="00303329"/>
    <w:rsid w:val="00313AA6"/>
    <w:rsid w:val="0032136C"/>
    <w:rsid w:val="00321736"/>
    <w:rsid w:val="00350B3A"/>
    <w:rsid w:val="0037075D"/>
    <w:rsid w:val="003823D2"/>
    <w:rsid w:val="003868B8"/>
    <w:rsid w:val="003C1DAC"/>
    <w:rsid w:val="003C6CD0"/>
    <w:rsid w:val="003D0289"/>
    <w:rsid w:val="003D2560"/>
    <w:rsid w:val="003D4C95"/>
    <w:rsid w:val="003F2809"/>
    <w:rsid w:val="003F50E8"/>
    <w:rsid w:val="004629EF"/>
    <w:rsid w:val="004A3CFB"/>
    <w:rsid w:val="004B291B"/>
    <w:rsid w:val="004E08F8"/>
    <w:rsid w:val="004E2B84"/>
    <w:rsid w:val="004E54D2"/>
    <w:rsid w:val="004E5834"/>
    <w:rsid w:val="004E6602"/>
    <w:rsid w:val="00510BEE"/>
    <w:rsid w:val="005176BE"/>
    <w:rsid w:val="00567535"/>
    <w:rsid w:val="0058049E"/>
    <w:rsid w:val="0059217E"/>
    <w:rsid w:val="005974EE"/>
    <w:rsid w:val="005A4712"/>
    <w:rsid w:val="005A5652"/>
    <w:rsid w:val="005B23CC"/>
    <w:rsid w:val="005C0C2D"/>
    <w:rsid w:val="005C3BA7"/>
    <w:rsid w:val="005D0C06"/>
    <w:rsid w:val="005D163F"/>
    <w:rsid w:val="005D3766"/>
    <w:rsid w:val="005D5169"/>
    <w:rsid w:val="005D5229"/>
    <w:rsid w:val="005E06D5"/>
    <w:rsid w:val="005F27E8"/>
    <w:rsid w:val="005F4CB5"/>
    <w:rsid w:val="00607C36"/>
    <w:rsid w:val="00625394"/>
    <w:rsid w:val="00626CB8"/>
    <w:rsid w:val="006376E4"/>
    <w:rsid w:val="006627A1"/>
    <w:rsid w:val="0066500C"/>
    <w:rsid w:val="006652CF"/>
    <w:rsid w:val="00665B1F"/>
    <w:rsid w:val="00691D37"/>
    <w:rsid w:val="00696609"/>
    <w:rsid w:val="006A525B"/>
    <w:rsid w:val="006C7EDC"/>
    <w:rsid w:val="006D6CD1"/>
    <w:rsid w:val="00716E24"/>
    <w:rsid w:val="00734D3E"/>
    <w:rsid w:val="007445C6"/>
    <w:rsid w:val="00776C8A"/>
    <w:rsid w:val="007A2A6B"/>
    <w:rsid w:val="007A3D24"/>
    <w:rsid w:val="007A5C13"/>
    <w:rsid w:val="007A7913"/>
    <w:rsid w:val="007C043D"/>
    <w:rsid w:val="007E648B"/>
    <w:rsid w:val="007E67F6"/>
    <w:rsid w:val="007F1C66"/>
    <w:rsid w:val="007F6330"/>
    <w:rsid w:val="007F7522"/>
    <w:rsid w:val="007F7E71"/>
    <w:rsid w:val="00841C1F"/>
    <w:rsid w:val="00862E61"/>
    <w:rsid w:val="00867FE0"/>
    <w:rsid w:val="008769BF"/>
    <w:rsid w:val="008A5AA8"/>
    <w:rsid w:val="008B77CC"/>
    <w:rsid w:val="008D6BBF"/>
    <w:rsid w:val="008E48DE"/>
    <w:rsid w:val="008F203E"/>
    <w:rsid w:val="00932BB8"/>
    <w:rsid w:val="009502E4"/>
    <w:rsid w:val="009635EE"/>
    <w:rsid w:val="009727A7"/>
    <w:rsid w:val="00973B8F"/>
    <w:rsid w:val="00980038"/>
    <w:rsid w:val="009808C7"/>
    <w:rsid w:val="0099389A"/>
    <w:rsid w:val="009955F2"/>
    <w:rsid w:val="009A1462"/>
    <w:rsid w:val="009A4326"/>
    <w:rsid w:val="009E40FA"/>
    <w:rsid w:val="009F6DEA"/>
    <w:rsid w:val="00A005B0"/>
    <w:rsid w:val="00A11FA6"/>
    <w:rsid w:val="00A14EA2"/>
    <w:rsid w:val="00A31858"/>
    <w:rsid w:val="00AB2D14"/>
    <w:rsid w:val="00AC0255"/>
    <w:rsid w:val="00AD6815"/>
    <w:rsid w:val="00AE7C5E"/>
    <w:rsid w:val="00B038A2"/>
    <w:rsid w:val="00B30C11"/>
    <w:rsid w:val="00B40E87"/>
    <w:rsid w:val="00B63EB9"/>
    <w:rsid w:val="00B75E04"/>
    <w:rsid w:val="00B93C60"/>
    <w:rsid w:val="00BB1EC0"/>
    <w:rsid w:val="00BD3C11"/>
    <w:rsid w:val="00BF3471"/>
    <w:rsid w:val="00C00029"/>
    <w:rsid w:val="00C01D4C"/>
    <w:rsid w:val="00C10223"/>
    <w:rsid w:val="00C134AF"/>
    <w:rsid w:val="00C26F2A"/>
    <w:rsid w:val="00C323E0"/>
    <w:rsid w:val="00C530BD"/>
    <w:rsid w:val="00C74D4F"/>
    <w:rsid w:val="00CA52D3"/>
    <w:rsid w:val="00CB2070"/>
    <w:rsid w:val="00CB5566"/>
    <w:rsid w:val="00CB61CB"/>
    <w:rsid w:val="00CD49AC"/>
    <w:rsid w:val="00CD4F51"/>
    <w:rsid w:val="00D00360"/>
    <w:rsid w:val="00D004CB"/>
    <w:rsid w:val="00D064D2"/>
    <w:rsid w:val="00D10679"/>
    <w:rsid w:val="00D22D7D"/>
    <w:rsid w:val="00D357DF"/>
    <w:rsid w:val="00D466FF"/>
    <w:rsid w:val="00D46971"/>
    <w:rsid w:val="00D46B4C"/>
    <w:rsid w:val="00D50593"/>
    <w:rsid w:val="00D560E3"/>
    <w:rsid w:val="00D56160"/>
    <w:rsid w:val="00D96CBD"/>
    <w:rsid w:val="00DB2EF4"/>
    <w:rsid w:val="00DC45F9"/>
    <w:rsid w:val="00DC6268"/>
    <w:rsid w:val="00DC7182"/>
    <w:rsid w:val="00DC7DA0"/>
    <w:rsid w:val="00DD2203"/>
    <w:rsid w:val="00DE719F"/>
    <w:rsid w:val="00DF2EFC"/>
    <w:rsid w:val="00E01311"/>
    <w:rsid w:val="00E0322C"/>
    <w:rsid w:val="00E20566"/>
    <w:rsid w:val="00E24D4F"/>
    <w:rsid w:val="00E400FB"/>
    <w:rsid w:val="00E50937"/>
    <w:rsid w:val="00E54F50"/>
    <w:rsid w:val="00EA4CBB"/>
    <w:rsid w:val="00EB1484"/>
    <w:rsid w:val="00ED047A"/>
    <w:rsid w:val="00ED2A78"/>
    <w:rsid w:val="00F11E2B"/>
    <w:rsid w:val="00F13F62"/>
    <w:rsid w:val="00F20136"/>
    <w:rsid w:val="00F50922"/>
    <w:rsid w:val="00F679CF"/>
    <w:rsid w:val="00F73EB4"/>
    <w:rsid w:val="00F903D2"/>
    <w:rsid w:val="00FC148B"/>
    <w:rsid w:val="00FE28C4"/>
    <w:rsid w:val="00FE750D"/>
    <w:rsid w:val="00FF059E"/>
    <w:rsid w:val="00FF5178"/>
    <w:rsid w:val="00FF7F32"/>
    <w:rsid w:val="02BEE62B"/>
    <w:rsid w:val="02CC109B"/>
    <w:rsid w:val="06294171"/>
    <w:rsid w:val="0DDBECFF"/>
    <w:rsid w:val="10FA3334"/>
    <w:rsid w:val="1C5742AF"/>
    <w:rsid w:val="1C7B67B4"/>
    <w:rsid w:val="20118088"/>
    <w:rsid w:val="21D2D744"/>
    <w:rsid w:val="23358896"/>
    <w:rsid w:val="23DFADB8"/>
    <w:rsid w:val="2517E9DC"/>
    <w:rsid w:val="29DB63A3"/>
    <w:rsid w:val="2B8FF3FE"/>
    <w:rsid w:val="2BC7640C"/>
    <w:rsid w:val="3182B2DE"/>
    <w:rsid w:val="35178E85"/>
    <w:rsid w:val="372E1A80"/>
    <w:rsid w:val="3C2A5C1D"/>
    <w:rsid w:val="3DD86F63"/>
    <w:rsid w:val="4169E19F"/>
    <w:rsid w:val="4722E965"/>
    <w:rsid w:val="4CE790B5"/>
    <w:rsid w:val="579D67A7"/>
    <w:rsid w:val="58BA9155"/>
    <w:rsid w:val="5A07BAFA"/>
    <w:rsid w:val="5BBDB6BA"/>
    <w:rsid w:val="5FEBBA9B"/>
    <w:rsid w:val="602DF18F"/>
    <w:rsid w:val="607ED731"/>
    <w:rsid w:val="61BEFBB0"/>
    <w:rsid w:val="628EC11A"/>
    <w:rsid w:val="643EDC9B"/>
    <w:rsid w:val="686BE0CF"/>
    <w:rsid w:val="69F30871"/>
    <w:rsid w:val="6CE50A14"/>
    <w:rsid w:val="6D380C19"/>
    <w:rsid w:val="71A43DBB"/>
    <w:rsid w:val="73CDFA92"/>
    <w:rsid w:val="75DEA438"/>
    <w:rsid w:val="76DD43B1"/>
    <w:rsid w:val="77C25D22"/>
    <w:rsid w:val="797C8844"/>
    <w:rsid w:val="7B480950"/>
    <w:rsid w:val="7B9BF0E6"/>
    <w:rsid w:val="7DF83A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58E65"/>
  <w15:docId w15:val="{9151B754-C102-4CAD-AE85-CA0ED4D4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iPriority="0" w:unhideWhenUsed="1"/>
    <w:lsdException w:name="line number" w:semiHidden="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B0E"/>
    <w:pPr>
      <w:spacing w:after="0" w:line="360" w:lineRule="auto"/>
    </w:pPr>
    <w:rPr>
      <w:rFonts w:ascii="Arial" w:hAnsi="Arial" w:cs="Arial"/>
    </w:rPr>
  </w:style>
  <w:style w:type="paragraph" w:styleId="Heading1">
    <w:name w:val="heading 1"/>
    <w:basedOn w:val="Normal"/>
    <w:next w:val="Normal"/>
    <w:link w:val="Heading1Char"/>
    <w:uiPriority w:val="9"/>
    <w:qFormat/>
    <w:rsid w:val="00DF22EC"/>
    <w:pPr>
      <w:keepNext/>
      <w:keepLines/>
      <w:spacing w:before="120" w:after="120"/>
      <w:outlineLvl w:val="0"/>
    </w:pPr>
    <w:rPr>
      <w:rFonts w:eastAsiaTheme="majorEastAsia"/>
      <w:b/>
      <w:szCs w:val="32"/>
    </w:rPr>
  </w:style>
  <w:style w:type="paragraph" w:styleId="Heading2">
    <w:name w:val="heading 2"/>
    <w:basedOn w:val="Normal"/>
    <w:next w:val="Normal"/>
    <w:link w:val="Heading2Char"/>
    <w:uiPriority w:val="9"/>
    <w:unhideWhenUsed/>
    <w:qFormat/>
    <w:rsid w:val="00DF22EC"/>
    <w:pPr>
      <w:keepNext/>
      <w:keepLines/>
      <w:spacing w:before="120" w:after="120"/>
      <w:outlineLvl w:val="1"/>
    </w:pPr>
    <w:rPr>
      <w:rFonts w:eastAsiaTheme="majorEastAsia"/>
      <w:i/>
      <w:szCs w:val="24"/>
    </w:rPr>
  </w:style>
  <w:style w:type="paragraph" w:styleId="Heading3">
    <w:name w:val="heading 3"/>
    <w:basedOn w:val="Normal"/>
    <w:next w:val="Normal"/>
    <w:link w:val="Heading3Char"/>
    <w:uiPriority w:val="9"/>
    <w:semiHidden/>
    <w:rsid w:val="00164435"/>
    <w:pPr>
      <w:keepNext/>
      <w:keepLines/>
      <w:numPr>
        <w:ilvl w:val="2"/>
        <w:numId w:val="1"/>
      </w:numPr>
      <w:spacing w:before="120" w:after="120"/>
      <w:ind w:left="1021" w:hanging="1021"/>
      <w:outlineLvl w:val="2"/>
    </w:pPr>
    <w:rPr>
      <w:rFonts w:eastAsiaTheme="majorEastAsia"/>
      <w:b/>
    </w:rPr>
  </w:style>
  <w:style w:type="paragraph" w:styleId="Heading4">
    <w:name w:val="heading 4"/>
    <w:basedOn w:val="Normal"/>
    <w:next w:val="Normal"/>
    <w:link w:val="Heading4Char"/>
    <w:uiPriority w:val="9"/>
    <w:semiHidden/>
    <w:rsid w:val="00164435"/>
    <w:pPr>
      <w:keepNext/>
      <w:keepLines/>
      <w:numPr>
        <w:ilvl w:val="3"/>
        <w:numId w:val="1"/>
      </w:numPr>
      <w:spacing w:before="120" w:after="120"/>
      <w:ind w:left="1021" w:hanging="1021"/>
      <w:outlineLvl w:val="3"/>
    </w:pPr>
    <w:rPr>
      <w:rFonts w:eastAsiaTheme="majorEastAsia"/>
      <w:b/>
      <w:iCs/>
    </w:rPr>
  </w:style>
  <w:style w:type="paragraph" w:styleId="Heading5">
    <w:name w:val="heading 5"/>
    <w:basedOn w:val="Normal"/>
    <w:next w:val="Normal"/>
    <w:link w:val="Heading5Char"/>
    <w:uiPriority w:val="9"/>
    <w:semiHidden/>
    <w:rsid w:val="00164435"/>
    <w:pPr>
      <w:keepNext/>
      <w:keepLines/>
      <w:numPr>
        <w:ilvl w:val="4"/>
        <w:numId w:val="1"/>
      </w:numPr>
      <w:spacing w:before="120" w:after="120"/>
      <w:ind w:left="1021" w:hanging="1021"/>
      <w:outlineLvl w:val="4"/>
    </w:pPr>
    <w:rPr>
      <w:rFonts w:eastAsiaTheme="majorEastAsia"/>
      <w:b/>
    </w:rPr>
  </w:style>
  <w:style w:type="paragraph" w:styleId="Heading6">
    <w:name w:val="heading 6"/>
    <w:basedOn w:val="Normal"/>
    <w:next w:val="Normal"/>
    <w:link w:val="Heading6Char"/>
    <w:uiPriority w:val="9"/>
    <w:semiHidden/>
    <w:qFormat/>
    <w:rsid w:val="00D557CC"/>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rsid w:val="00D557CC"/>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qFormat/>
    <w:rsid w:val="00D557C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rsid w:val="00D557C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E38"/>
    <w:pPr>
      <w:tabs>
        <w:tab w:val="center" w:pos="4536"/>
        <w:tab w:val="right" w:pos="9072"/>
      </w:tabs>
      <w:spacing w:line="240" w:lineRule="auto"/>
    </w:pPr>
  </w:style>
  <w:style w:type="character" w:customStyle="1" w:styleId="HeaderChar">
    <w:name w:val="Header Char"/>
    <w:basedOn w:val="DefaultParagraphFont"/>
    <w:link w:val="Header"/>
    <w:uiPriority w:val="99"/>
    <w:rsid w:val="00462E38"/>
    <w:rPr>
      <w:rFonts w:ascii="Arial" w:hAnsi="Arial" w:cs="Arial"/>
    </w:rPr>
  </w:style>
  <w:style w:type="paragraph" w:styleId="Footer">
    <w:name w:val="footer"/>
    <w:basedOn w:val="Normal"/>
    <w:link w:val="FooterChar"/>
    <w:uiPriority w:val="99"/>
    <w:unhideWhenUsed/>
    <w:rsid w:val="00462E38"/>
    <w:pPr>
      <w:tabs>
        <w:tab w:val="center" w:pos="4536"/>
        <w:tab w:val="right" w:pos="9072"/>
      </w:tabs>
      <w:spacing w:line="240" w:lineRule="auto"/>
    </w:pPr>
  </w:style>
  <w:style w:type="character" w:customStyle="1" w:styleId="FooterChar">
    <w:name w:val="Footer Char"/>
    <w:basedOn w:val="DefaultParagraphFont"/>
    <w:link w:val="Footer"/>
    <w:uiPriority w:val="99"/>
    <w:rsid w:val="00462E38"/>
    <w:rPr>
      <w:rFonts w:ascii="Arial" w:hAnsi="Arial" w:cs="Arial"/>
    </w:rPr>
  </w:style>
  <w:style w:type="character" w:customStyle="1" w:styleId="Heading1Char">
    <w:name w:val="Heading 1 Char"/>
    <w:basedOn w:val="DefaultParagraphFont"/>
    <w:link w:val="Heading1"/>
    <w:uiPriority w:val="9"/>
    <w:rsid w:val="00DF22EC"/>
    <w:rPr>
      <w:rFonts w:ascii="Arial" w:eastAsiaTheme="majorEastAsia" w:hAnsi="Arial" w:cs="Arial"/>
      <w:b/>
      <w:szCs w:val="32"/>
    </w:rPr>
  </w:style>
  <w:style w:type="character" w:customStyle="1" w:styleId="Heading2Char">
    <w:name w:val="Heading 2 Char"/>
    <w:basedOn w:val="DefaultParagraphFont"/>
    <w:link w:val="Heading2"/>
    <w:uiPriority w:val="9"/>
    <w:rsid w:val="00DF22EC"/>
    <w:rPr>
      <w:rFonts w:ascii="Arial" w:eastAsiaTheme="majorEastAsia" w:hAnsi="Arial" w:cs="Arial"/>
      <w:i/>
      <w:szCs w:val="24"/>
    </w:rPr>
  </w:style>
  <w:style w:type="character" w:customStyle="1" w:styleId="Heading3Char">
    <w:name w:val="Heading 3 Char"/>
    <w:basedOn w:val="DefaultParagraphFont"/>
    <w:link w:val="Heading3"/>
    <w:uiPriority w:val="9"/>
    <w:semiHidden/>
    <w:rsid w:val="003F3D67"/>
    <w:rPr>
      <w:rFonts w:ascii="Arial" w:eastAsiaTheme="majorEastAsia" w:hAnsi="Arial" w:cs="Arial"/>
      <w:b/>
    </w:rPr>
  </w:style>
  <w:style w:type="character" w:customStyle="1" w:styleId="Heading4Char">
    <w:name w:val="Heading 4 Char"/>
    <w:basedOn w:val="DefaultParagraphFont"/>
    <w:link w:val="Heading4"/>
    <w:uiPriority w:val="9"/>
    <w:semiHidden/>
    <w:rsid w:val="003F3D67"/>
    <w:rPr>
      <w:rFonts w:ascii="Arial" w:eastAsiaTheme="majorEastAsia" w:hAnsi="Arial" w:cs="Arial"/>
      <w:b/>
      <w:iCs/>
    </w:rPr>
  </w:style>
  <w:style w:type="character" w:customStyle="1" w:styleId="Heading5Char">
    <w:name w:val="Heading 5 Char"/>
    <w:basedOn w:val="DefaultParagraphFont"/>
    <w:link w:val="Heading5"/>
    <w:uiPriority w:val="9"/>
    <w:semiHidden/>
    <w:rsid w:val="003F3D67"/>
    <w:rPr>
      <w:rFonts w:ascii="Arial" w:eastAsiaTheme="majorEastAsia" w:hAnsi="Arial" w:cs="Arial"/>
      <w:b/>
    </w:rPr>
  </w:style>
  <w:style w:type="character" w:customStyle="1" w:styleId="Heading6Char">
    <w:name w:val="Heading 6 Char"/>
    <w:basedOn w:val="DefaultParagraphFont"/>
    <w:link w:val="Heading6"/>
    <w:uiPriority w:val="9"/>
    <w:semiHidden/>
    <w:rsid w:val="00C03AD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3AD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3A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3AD1"/>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semiHidden/>
    <w:qFormat/>
    <w:rsid w:val="00164435"/>
    <w:pPr>
      <w:ind w:left="720"/>
      <w:contextualSpacing/>
    </w:pPr>
  </w:style>
  <w:style w:type="paragraph" w:customStyle="1" w:styleId="AufzhlungKstchen">
    <w:name w:val="Aufzählung Kästchen"/>
    <w:basedOn w:val="ListParagraph"/>
    <w:link w:val="AufzhlungKstchenZchn"/>
    <w:qFormat/>
    <w:rsid w:val="00164435"/>
    <w:pPr>
      <w:numPr>
        <w:numId w:val="2"/>
      </w:numPr>
    </w:pPr>
  </w:style>
  <w:style w:type="paragraph" w:customStyle="1" w:styleId="AufzhlungBuchstabe">
    <w:name w:val="Aufzählung Buchstabe"/>
    <w:basedOn w:val="ListParagraph"/>
    <w:link w:val="AufzhlungBuchstabeZchn"/>
    <w:qFormat/>
    <w:rsid w:val="003F2ED8"/>
    <w:pPr>
      <w:tabs>
        <w:tab w:val="num" w:pos="720"/>
      </w:tabs>
      <w:ind w:hanging="720"/>
    </w:pPr>
  </w:style>
  <w:style w:type="character" w:customStyle="1" w:styleId="ListParagraphChar">
    <w:name w:val="List Paragraph Char"/>
    <w:basedOn w:val="DefaultParagraphFont"/>
    <w:link w:val="ListParagraph"/>
    <w:uiPriority w:val="34"/>
    <w:semiHidden/>
    <w:rsid w:val="003F3D67"/>
    <w:rPr>
      <w:rFonts w:ascii="Arial" w:hAnsi="Arial" w:cs="Arial"/>
    </w:rPr>
  </w:style>
  <w:style w:type="character" w:customStyle="1" w:styleId="AufzhlungKstchenZchn">
    <w:name w:val="Aufzählung Kästchen Zchn"/>
    <w:basedOn w:val="ListParagraphChar"/>
    <w:link w:val="AufzhlungKstchen"/>
    <w:rsid w:val="00164435"/>
    <w:rPr>
      <w:rFonts w:ascii="Arial" w:hAnsi="Arial" w:cs="Arial"/>
    </w:rPr>
  </w:style>
  <w:style w:type="paragraph" w:customStyle="1" w:styleId="AufzhlungNummer">
    <w:name w:val="Aufzählung Nummer"/>
    <w:basedOn w:val="ListParagraph"/>
    <w:link w:val="AufzhlungNummerZchn"/>
    <w:qFormat/>
    <w:rsid w:val="003F2ED8"/>
    <w:pPr>
      <w:tabs>
        <w:tab w:val="num" w:pos="720"/>
      </w:tabs>
      <w:ind w:hanging="720"/>
    </w:pPr>
  </w:style>
  <w:style w:type="character" w:customStyle="1" w:styleId="AufzhlungBuchstabeZchn">
    <w:name w:val="Aufzählung Buchstabe Zchn"/>
    <w:basedOn w:val="ListParagraphChar"/>
    <w:link w:val="AufzhlungBuchstabe"/>
    <w:rsid w:val="003F2ED8"/>
    <w:rPr>
      <w:rFonts w:ascii="Arial" w:hAnsi="Arial" w:cs="Arial"/>
    </w:rPr>
  </w:style>
  <w:style w:type="table" w:customStyle="1" w:styleId="Tabelle">
    <w:name w:val="Tabelle"/>
    <w:basedOn w:val="TableNormal"/>
    <w:uiPriority w:val="99"/>
    <w:rsid w:val="008B68F6"/>
    <w:pPr>
      <w:spacing w:after="0" w:line="260" w:lineRule="atLeast"/>
    </w:pPr>
    <w:rPr>
      <w:rFonts w:ascii="Arial" w:hAnsi="Arial"/>
      <w:sz w:val="18"/>
    </w:rPr>
    <w:tblPr>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bottom w:w="28" w:type="dxa"/>
      </w:tblCellMar>
    </w:tblPr>
  </w:style>
  <w:style w:type="character" w:customStyle="1" w:styleId="AufzhlungNummerZchn">
    <w:name w:val="Aufzählung Nummer Zchn"/>
    <w:basedOn w:val="ListParagraphChar"/>
    <w:link w:val="AufzhlungNummer"/>
    <w:rsid w:val="003F2ED8"/>
    <w:rPr>
      <w:rFonts w:ascii="Arial" w:hAnsi="Arial" w:cs="Arial"/>
    </w:rPr>
  </w:style>
  <w:style w:type="table" w:styleId="TableGrid">
    <w:name w:val="Table Grid"/>
    <w:basedOn w:val="TableNormal"/>
    <w:rsid w:val="006D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mitRahmen">
    <w:name w:val="Tabelle mit Rahmen"/>
    <w:basedOn w:val="TableNormal"/>
    <w:uiPriority w:val="99"/>
    <w:rsid w:val="006D55CB"/>
    <w:pPr>
      <w:spacing w:before="40" w:after="40" w:line="260" w:lineRule="atLeast"/>
    </w:pPr>
    <w:rPr>
      <w:rFonts w:ascii="Arial" w:hAnsi="Arial"/>
    </w:rPr>
    <w:tblPr/>
  </w:style>
  <w:style w:type="paragraph" w:styleId="TOCHeading">
    <w:name w:val="TOC Heading"/>
    <w:basedOn w:val="Heading1"/>
    <w:next w:val="Normal"/>
    <w:uiPriority w:val="39"/>
    <w:semiHidden/>
    <w:rsid w:val="00DE6510"/>
    <w:pPr>
      <w:spacing w:before="240" w:after="0" w:line="259" w:lineRule="auto"/>
      <w:outlineLvl w:val="9"/>
    </w:pPr>
    <w:rPr>
      <w:szCs w:val="22"/>
      <w:lang w:val="de-DE" w:eastAsia="de-CH"/>
    </w:rPr>
  </w:style>
  <w:style w:type="paragraph" w:styleId="TOC1">
    <w:name w:val="toc 1"/>
    <w:basedOn w:val="Normal"/>
    <w:next w:val="Normal"/>
    <w:uiPriority w:val="39"/>
    <w:semiHidden/>
    <w:rsid w:val="00DE6510"/>
    <w:pPr>
      <w:tabs>
        <w:tab w:val="left" w:pos="1021"/>
        <w:tab w:val="right" w:leader="dot" w:pos="9912"/>
      </w:tabs>
      <w:spacing w:after="100"/>
      <w:ind w:left="1021" w:hanging="1021"/>
    </w:pPr>
    <w:rPr>
      <w:b/>
      <w:noProof/>
    </w:rPr>
  </w:style>
  <w:style w:type="paragraph" w:styleId="TOC2">
    <w:name w:val="toc 2"/>
    <w:basedOn w:val="Normal"/>
    <w:next w:val="Normal"/>
    <w:autoRedefine/>
    <w:uiPriority w:val="39"/>
    <w:semiHidden/>
    <w:rsid w:val="00DE6510"/>
    <w:pPr>
      <w:tabs>
        <w:tab w:val="left" w:pos="1021"/>
        <w:tab w:val="right" w:leader="dot" w:pos="9912"/>
      </w:tabs>
      <w:spacing w:after="100"/>
      <w:ind w:left="1021" w:hanging="1021"/>
    </w:pPr>
    <w:rPr>
      <w:noProof/>
    </w:rPr>
  </w:style>
  <w:style w:type="paragraph" w:styleId="TOC3">
    <w:name w:val="toc 3"/>
    <w:basedOn w:val="Normal"/>
    <w:next w:val="Normal"/>
    <w:uiPriority w:val="39"/>
    <w:semiHidden/>
    <w:rsid w:val="00286552"/>
    <w:pPr>
      <w:tabs>
        <w:tab w:val="left" w:pos="1021"/>
        <w:tab w:val="right" w:leader="dot" w:pos="9912"/>
      </w:tabs>
      <w:spacing w:after="100"/>
      <w:ind w:left="1021" w:hanging="1021"/>
    </w:pPr>
    <w:rPr>
      <w:noProof/>
    </w:rPr>
  </w:style>
  <w:style w:type="character" w:styleId="Hyperlink">
    <w:name w:val="Hyperlink"/>
    <w:basedOn w:val="DefaultParagraphFont"/>
    <w:unhideWhenUsed/>
    <w:rsid w:val="00DE6510"/>
    <w:rPr>
      <w:color w:val="0000FF" w:themeColor="hyperlink"/>
      <w:u w:val="single"/>
    </w:rPr>
  </w:style>
  <w:style w:type="paragraph" w:styleId="TOC4">
    <w:name w:val="toc 4"/>
    <w:basedOn w:val="Normal"/>
    <w:next w:val="Normal"/>
    <w:autoRedefine/>
    <w:uiPriority w:val="39"/>
    <w:semiHidden/>
    <w:rsid w:val="00286552"/>
    <w:pPr>
      <w:tabs>
        <w:tab w:val="left" w:pos="1021"/>
        <w:tab w:val="right" w:leader="dot" w:pos="9912"/>
      </w:tabs>
      <w:spacing w:after="100"/>
      <w:ind w:left="1021" w:hanging="1021"/>
    </w:pPr>
    <w:rPr>
      <w:noProof/>
    </w:rPr>
  </w:style>
  <w:style w:type="paragraph" w:styleId="TOC5">
    <w:name w:val="toc 5"/>
    <w:basedOn w:val="Normal"/>
    <w:next w:val="Normal"/>
    <w:uiPriority w:val="39"/>
    <w:semiHidden/>
    <w:rsid w:val="00286552"/>
    <w:pPr>
      <w:tabs>
        <w:tab w:val="left" w:pos="1021"/>
        <w:tab w:val="right" w:leader="dot" w:pos="9912"/>
      </w:tabs>
      <w:spacing w:after="100"/>
      <w:ind w:left="1021" w:hanging="1021"/>
    </w:pPr>
    <w:rPr>
      <w:noProof/>
    </w:rPr>
  </w:style>
  <w:style w:type="paragraph" w:customStyle="1" w:styleId="AufzhlungKstchenEinzug">
    <w:name w:val="Aufzählung Kästchen Einzug"/>
    <w:basedOn w:val="ListParagraph"/>
    <w:link w:val="AufzhlungKstchenEinzugZchn"/>
    <w:qFormat/>
    <w:rsid w:val="00F11C0B"/>
    <w:pPr>
      <w:tabs>
        <w:tab w:val="num" w:pos="720"/>
      </w:tabs>
      <w:spacing w:before="120" w:after="120"/>
      <w:ind w:hanging="720"/>
    </w:pPr>
  </w:style>
  <w:style w:type="character" w:customStyle="1" w:styleId="AufzhlungKstchenEinzugZchn">
    <w:name w:val="Aufzählung Kästchen Einzug Zchn"/>
    <w:basedOn w:val="ListParagraphChar"/>
    <w:link w:val="AufzhlungKstchenEinzug"/>
    <w:rsid w:val="00F11C0B"/>
    <w:rPr>
      <w:rFonts w:ascii="Arial" w:hAnsi="Arial" w:cs="Arial"/>
    </w:rPr>
  </w:style>
  <w:style w:type="character" w:styleId="PlaceholderText">
    <w:name w:val="Placeholder Text"/>
    <w:basedOn w:val="DefaultParagraphFont"/>
    <w:uiPriority w:val="99"/>
    <w:semiHidden/>
    <w:rsid w:val="00952EC6"/>
    <w:rPr>
      <w:color w:val="808080"/>
    </w:rPr>
  </w:style>
  <w:style w:type="character" w:styleId="CommentReference">
    <w:name w:val="annotation reference"/>
    <w:basedOn w:val="DefaultParagraphFont"/>
    <w:semiHidden/>
    <w:unhideWhenUsed/>
    <w:rsid w:val="004676F8"/>
    <w:rPr>
      <w:sz w:val="16"/>
      <w:szCs w:val="16"/>
    </w:rPr>
  </w:style>
  <w:style w:type="paragraph" w:styleId="CommentText">
    <w:name w:val="annotation text"/>
    <w:basedOn w:val="Normal"/>
    <w:link w:val="CommentTextChar"/>
    <w:unhideWhenUsed/>
    <w:rsid w:val="004676F8"/>
    <w:pPr>
      <w:spacing w:line="240" w:lineRule="auto"/>
    </w:pPr>
    <w:rPr>
      <w:sz w:val="20"/>
      <w:szCs w:val="20"/>
    </w:rPr>
  </w:style>
  <w:style w:type="character" w:customStyle="1" w:styleId="CommentTextChar">
    <w:name w:val="Comment Text Char"/>
    <w:basedOn w:val="DefaultParagraphFont"/>
    <w:link w:val="CommentText"/>
    <w:rsid w:val="004676F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676F8"/>
    <w:rPr>
      <w:b/>
      <w:bCs/>
    </w:rPr>
  </w:style>
  <w:style w:type="character" w:customStyle="1" w:styleId="CommentSubjectChar">
    <w:name w:val="Comment Subject Char"/>
    <w:basedOn w:val="CommentTextChar"/>
    <w:link w:val="CommentSubject"/>
    <w:uiPriority w:val="99"/>
    <w:semiHidden/>
    <w:rsid w:val="004676F8"/>
    <w:rPr>
      <w:rFonts w:ascii="Arial" w:hAnsi="Arial" w:cs="Arial"/>
      <w:b/>
      <w:bCs/>
      <w:sz w:val="20"/>
      <w:szCs w:val="20"/>
    </w:rPr>
  </w:style>
  <w:style w:type="paragraph" w:styleId="BalloonText">
    <w:name w:val="Balloon Text"/>
    <w:basedOn w:val="Normal"/>
    <w:link w:val="BalloonTextChar"/>
    <w:uiPriority w:val="99"/>
    <w:semiHidden/>
    <w:unhideWhenUsed/>
    <w:rsid w:val="004676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6F8"/>
    <w:rPr>
      <w:rFonts w:ascii="Segoe UI" w:hAnsi="Segoe UI" w:cs="Segoe UI"/>
      <w:sz w:val="18"/>
      <w:szCs w:val="18"/>
    </w:rPr>
  </w:style>
  <w:style w:type="paragraph" w:styleId="FootnoteText">
    <w:name w:val="footnote text"/>
    <w:basedOn w:val="Normal"/>
    <w:link w:val="FootnoteTextChar"/>
    <w:semiHidden/>
    <w:unhideWhenUsed/>
    <w:rsid w:val="0030738D"/>
    <w:pPr>
      <w:spacing w:before="120" w:after="120"/>
    </w:pPr>
    <w:rPr>
      <w:rFonts w:eastAsia="Times New Roman" w:cs="Times New Roman"/>
      <w:sz w:val="20"/>
      <w:szCs w:val="20"/>
    </w:rPr>
  </w:style>
  <w:style w:type="character" w:customStyle="1" w:styleId="FootnoteTextChar">
    <w:name w:val="Footnote Text Char"/>
    <w:basedOn w:val="DefaultParagraphFont"/>
    <w:link w:val="FootnoteText"/>
    <w:semiHidden/>
    <w:rsid w:val="0030738D"/>
    <w:rPr>
      <w:rFonts w:ascii="Arial" w:eastAsia="Times New Roman" w:hAnsi="Arial" w:cs="Times New Roman"/>
      <w:sz w:val="20"/>
      <w:szCs w:val="20"/>
    </w:rPr>
  </w:style>
  <w:style w:type="paragraph" w:styleId="EndnoteText">
    <w:name w:val="endnote text"/>
    <w:basedOn w:val="Normal"/>
    <w:link w:val="EndnoteTextChar"/>
    <w:semiHidden/>
    <w:unhideWhenUsed/>
    <w:rsid w:val="0030738D"/>
    <w:pPr>
      <w:spacing w:before="120" w:after="120"/>
    </w:pPr>
    <w:rPr>
      <w:rFonts w:eastAsia="Times New Roman" w:cs="Times New Roman"/>
      <w:sz w:val="20"/>
      <w:szCs w:val="20"/>
    </w:rPr>
  </w:style>
  <w:style w:type="character" w:customStyle="1" w:styleId="EndnoteTextChar">
    <w:name w:val="Endnote Text Char"/>
    <w:basedOn w:val="DefaultParagraphFont"/>
    <w:link w:val="EndnoteText"/>
    <w:semiHidden/>
    <w:rsid w:val="0030738D"/>
    <w:rPr>
      <w:rFonts w:ascii="Arial" w:eastAsia="Times New Roman" w:hAnsi="Arial" w:cs="Times New Roman"/>
      <w:sz w:val="20"/>
      <w:szCs w:val="20"/>
    </w:rPr>
  </w:style>
  <w:style w:type="paragraph" w:styleId="Title">
    <w:name w:val="Title"/>
    <w:basedOn w:val="Heading1"/>
    <w:next w:val="Normal"/>
    <w:link w:val="TitleChar"/>
    <w:autoRedefine/>
    <w:qFormat/>
    <w:rsid w:val="0030738D"/>
    <w:pPr>
      <w:keepLines w:val="0"/>
    </w:pPr>
    <w:rPr>
      <w:rFonts w:eastAsia="Times New Roman" w:cs="Times New Roman"/>
      <w:sz w:val="24"/>
      <w:szCs w:val="20"/>
    </w:rPr>
  </w:style>
  <w:style w:type="character" w:customStyle="1" w:styleId="TitleChar">
    <w:name w:val="Title Char"/>
    <w:basedOn w:val="DefaultParagraphFont"/>
    <w:link w:val="Title"/>
    <w:rsid w:val="0030738D"/>
    <w:rPr>
      <w:rFonts w:ascii="Arial" w:eastAsia="Times New Roman" w:hAnsi="Arial" w:cs="Times New Roman"/>
      <w:b/>
      <w:sz w:val="24"/>
      <w:szCs w:val="20"/>
    </w:rPr>
  </w:style>
  <w:style w:type="character" w:styleId="FootnoteReference">
    <w:name w:val="footnote reference"/>
    <w:basedOn w:val="DefaultParagraphFont"/>
    <w:semiHidden/>
    <w:unhideWhenUsed/>
    <w:rsid w:val="0030738D"/>
    <w:rPr>
      <w:vertAlign w:val="superscript"/>
    </w:rPr>
  </w:style>
  <w:style w:type="character" w:styleId="EndnoteReference">
    <w:name w:val="endnote reference"/>
    <w:basedOn w:val="DefaultParagraphFont"/>
    <w:semiHidden/>
    <w:unhideWhenUsed/>
    <w:rsid w:val="0030738D"/>
    <w:rPr>
      <w:vertAlign w:val="superscript"/>
    </w:rPr>
  </w:style>
  <w:style w:type="paragraph" w:customStyle="1" w:styleId="Blau">
    <w:name w:val="Blau"/>
    <w:basedOn w:val="Normal"/>
    <w:next w:val="Normal"/>
    <w:link w:val="BlauZchn"/>
    <w:qFormat/>
    <w:rsid w:val="003F3D67"/>
    <w:rPr>
      <w:i/>
      <w:color w:val="365F91" w:themeColor="accent1" w:themeShade="BF"/>
      <w:sz w:val="16"/>
    </w:rPr>
  </w:style>
  <w:style w:type="character" w:customStyle="1" w:styleId="BlauZchn">
    <w:name w:val="Blau Zchn"/>
    <w:basedOn w:val="DefaultParagraphFont"/>
    <w:link w:val="Blau"/>
    <w:rsid w:val="003F3D67"/>
    <w:rPr>
      <w:rFonts w:ascii="Arial" w:hAnsi="Arial" w:cs="Arial"/>
      <w:i/>
      <w:color w:val="365F91" w:themeColor="accent1" w:themeShade="BF"/>
      <w:sz w:val="16"/>
    </w:rPr>
  </w:style>
  <w:style w:type="paragraph" w:customStyle="1" w:styleId="LogoText">
    <w:name w:val="LogoText"/>
    <w:basedOn w:val="Normal"/>
    <w:uiPriority w:val="99"/>
    <w:qFormat/>
    <w:rsid w:val="009E7728"/>
    <w:pPr>
      <w:spacing w:line="240" w:lineRule="auto"/>
    </w:pPr>
    <w:rPr>
      <w:rFonts w:eastAsia="Times New Roman"/>
      <w:b/>
      <w:bCs/>
      <w:noProof/>
      <w:color w:val="0000FF"/>
      <w:sz w:val="17"/>
      <w:szCs w:val="24"/>
      <w:lang w:eastAsia="de-CH"/>
    </w:rPr>
  </w:style>
  <w:style w:type="paragraph" w:styleId="Revision">
    <w:name w:val="Revision"/>
    <w:hidden/>
    <w:uiPriority w:val="99"/>
    <w:semiHidden/>
    <w:rsid w:val="004A4E4D"/>
    <w:pPr>
      <w:spacing w:after="0" w:line="240" w:lineRule="auto"/>
    </w:pPr>
    <w:rPr>
      <w:rFonts w:ascii="Arial" w:hAnsi="Arial" w:cs="Arial"/>
    </w:rPr>
  </w:style>
  <w:style w:type="character" w:customStyle="1" w:styleId="s10">
    <w:name w:val="s10"/>
    <w:basedOn w:val="DefaultParagraphFont"/>
    <w:rsid w:val="00387C5C"/>
  </w:style>
  <w:style w:type="character" w:customStyle="1" w:styleId="s9">
    <w:name w:val="s9"/>
    <w:basedOn w:val="DefaultParagraphFont"/>
    <w:rsid w:val="00C4178C"/>
  </w:style>
  <w:style w:type="paragraph" w:customStyle="1" w:styleId="s8">
    <w:name w:val="s8"/>
    <w:basedOn w:val="Normal"/>
    <w:rsid w:val="00E85708"/>
    <w:pPr>
      <w:spacing w:before="100" w:beforeAutospacing="1" w:after="150" w:line="384" w:lineRule="atLeast"/>
    </w:pPr>
    <w:rPr>
      <w:rFonts w:ascii="Times New Roman" w:eastAsia="Times New Roman" w:hAnsi="Times New Roman" w:cs="Times New Roman"/>
      <w:sz w:val="24"/>
      <w:szCs w:val="24"/>
      <w:lang w:val="en-US"/>
    </w:rPr>
  </w:style>
  <w:style w:type="paragraph" w:customStyle="1" w:styleId="Tab-Struktur109pt">
    <w:name w:val="Tab-Struktur 1 0/9pt"/>
    <w:rsid w:val="001F2470"/>
    <w:pPr>
      <w:tabs>
        <w:tab w:val="left" w:pos="227"/>
      </w:tabs>
      <w:spacing w:after="0" w:line="200" w:lineRule="exact"/>
      <w:ind w:left="227" w:hanging="227"/>
    </w:pPr>
    <w:rPr>
      <w:rFonts w:ascii="Times New Roman" w:eastAsia="Times New Roman" w:hAnsi="Times New Roman" w:cs="Times New Roman"/>
      <w:sz w:val="18"/>
      <w:szCs w:val="20"/>
      <w:lang w:eastAsia="de-DE"/>
    </w:rPr>
  </w:style>
  <w:style w:type="paragraph" w:customStyle="1" w:styleId="Default">
    <w:name w:val="Default"/>
    <w:rsid w:val="00F217FC"/>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5974EE"/>
    <w:pPr>
      <w:widowControl w:val="0"/>
      <w:autoSpaceDE w:val="0"/>
      <w:autoSpaceDN w:val="0"/>
      <w:spacing w:before="120" w:line="240" w:lineRule="auto"/>
      <w:ind w:left="238"/>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5974EE"/>
    <w:rPr>
      <w:rFonts w:ascii="Times New Roman" w:eastAsia="Times New Roman" w:hAnsi="Times New Roman" w:cs="Times New Roman"/>
      <w:lang w:val="en-US"/>
    </w:rPr>
  </w:style>
  <w:style w:type="paragraph" w:customStyle="1" w:styleId="TableParagraph">
    <w:name w:val="Table Paragraph"/>
    <w:basedOn w:val="Normal"/>
    <w:uiPriority w:val="1"/>
    <w:qFormat/>
    <w:rsid w:val="00D96CBD"/>
    <w:pPr>
      <w:widowControl w:val="0"/>
      <w:autoSpaceDE w:val="0"/>
      <w:autoSpaceDN w:val="0"/>
      <w:spacing w:line="240" w:lineRule="auto"/>
      <w:ind w:left="108"/>
    </w:pPr>
    <w:rPr>
      <w:rFonts w:ascii="Times New Roman" w:eastAsia="Times New Roman" w:hAnsi="Times New Roman" w:cs="Times New Roman"/>
      <w:lang w:val="en-US"/>
    </w:rPr>
  </w:style>
  <w:style w:type="paragraph" w:customStyle="1" w:styleId="Unterstreichung">
    <w:name w:val="Unterstreichung"/>
    <w:basedOn w:val="Header"/>
    <w:link w:val="UnterstreichungZchn"/>
    <w:qFormat/>
    <w:rsid w:val="003F2809"/>
    <w:pPr>
      <w:tabs>
        <w:tab w:val="clear" w:pos="4536"/>
        <w:tab w:val="clear" w:pos="9072"/>
      </w:tabs>
      <w:spacing w:after="240"/>
    </w:pPr>
    <w:rPr>
      <w:rFonts w:ascii="Times New Roman" w:eastAsia="Times New Roman" w:hAnsi="Times New Roman" w:cs="Times New Roman"/>
      <w:u w:val="single"/>
      <w:lang w:val="de-DE"/>
    </w:rPr>
  </w:style>
  <w:style w:type="character" w:customStyle="1" w:styleId="UnterstreichungZchn">
    <w:name w:val="Unterstreichung Zchn"/>
    <w:basedOn w:val="HeaderChar"/>
    <w:link w:val="Unterstreichung"/>
    <w:rsid w:val="003F2809"/>
    <w:rPr>
      <w:rFonts w:ascii="Times New Roman" w:eastAsia="Times New Roman" w:hAnsi="Times New Roman" w:cs="Times New Roman"/>
      <w:u w:val="single"/>
      <w:lang w:val="de-DE"/>
    </w:rPr>
  </w:style>
  <w:style w:type="paragraph" w:customStyle="1" w:styleId="FI2">
    <w:name w:val="FI Ü2"/>
    <w:basedOn w:val="ListParagraph"/>
    <w:next w:val="Normal"/>
    <w:qFormat/>
    <w:rsid w:val="003F2809"/>
    <w:pPr>
      <w:numPr>
        <w:numId w:val="7"/>
      </w:numPr>
      <w:spacing w:before="480" w:after="240" w:line="240" w:lineRule="auto"/>
      <w:outlineLvl w:val="1"/>
    </w:pPr>
    <w:rPr>
      <w:rFonts w:ascii="Times New Roman" w:eastAsia="Times New Roman" w:hAnsi="Times New Roman" w:cs="Times New Roman"/>
      <w:b/>
      <w:caps/>
      <w:noProof/>
      <w:szCs w:val="20"/>
      <w:lang w:val="de-DE"/>
    </w:rPr>
  </w:style>
  <w:style w:type="paragraph" w:customStyle="1" w:styleId="FI3">
    <w:name w:val="FI Ü3"/>
    <w:basedOn w:val="Heading3"/>
    <w:next w:val="Normal"/>
    <w:link w:val="FI3Zchn"/>
    <w:qFormat/>
    <w:rsid w:val="003F2809"/>
    <w:pPr>
      <w:keepLines w:val="0"/>
      <w:numPr>
        <w:ilvl w:val="1"/>
        <w:numId w:val="7"/>
      </w:numPr>
      <w:spacing w:before="240" w:after="240" w:line="240" w:lineRule="auto"/>
      <w:ind w:left="567" w:hanging="567"/>
    </w:pPr>
    <w:rPr>
      <w:rFonts w:ascii="Times New Roman" w:eastAsia="Times New Roman" w:hAnsi="Times New Roman" w:cs="Times New Roman"/>
      <w:szCs w:val="20"/>
      <w:lang w:val="de-DE"/>
    </w:rPr>
  </w:style>
  <w:style w:type="character" w:customStyle="1" w:styleId="FI3Zchn">
    <w:name w:val="FI Ü3 Zchn"/>
    <w:basedOn w:val="ListParagraphChar"/>
    <w:link w:val="FI3"/>
    <w:rsid w:val="003F2809"/>
    <w:rPr>
      <w:rFonts w:ascii="Times New Roman" w:eastAsia="Times New Roman" w:hAnsi="Times New Roman" w:cs="Times New Roman"/>
      <w:b/>
      <w:szCs w:val="20"/>
      <w:lang w:val="de-DE"/>
    </w:rPr>
  </w:style>
  <w:style w:type="character" w:styleId="UnresolvedMention">
    <w:name w:val="Unresolved Mention"/>
    <w:basedOn w:val="DefaultParagraphFont"/>
    <w:uiPriority w:val="99"/>
    <w:semiHidden/>
    <w:unhideWhenUsed/>
    <w:rsid w:val="00B93C60"/>
    <w:rPr>
      <w:color w:val="605E5C"/>
      <w:shd w:val="clear" w:color="auto" w:fill="E1DFDD"/>
    </w:rPr>
  </w:style>
  <w:style w:type="paragraph" w:customStyle="1" w:styleId="s3">
    <w:name w:val="s3"/>
    <w:basedOn w:val="Normal"/>
    <w:rsid w:val="00A31858"/>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s6">
    <w:name w:val="s6"/>
    <w:basedOn w:val="DefaultParagraphFont"/>
    <w:rsid w:val="00A31858"/>
  </w:style>
  <w:style w:type="paragraph" w:customStyle="1" w:styleId="s7">
    <w:name w:val="s7"/>
    <w:basedOn w:val="Normal"/>
    <w:rsid w:val="00A31858"/>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s11">
    <w:name w:val="s11"/>
    <w:basedOn w:val="DefaultParagraphFont"/>
    <w:rsid w:val="00A31858"/>
  </w:style>
  <w:style w:type="character" w:customStyle="1" w:styleId="s4">
    <w:name w:val="s4"/>
    <w:basedOn w:val="DefaultParagraphFont"/>
    <w:rsid w:val="00A31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71184">
      <w:bodyDiv w:val="1"/>
      <w:marLeft w:val="0"/>
      <w:marRight w:val="0"/>
      <w:marTop w:val="0"/>
      <w:marBottom w:val="0"/>
      <w:divBdr>
        <w:top w:val="none" w:sz="0" w:space="0" w:color="auto"/>
        <w:left w:val="none" w:sz="0" w:space="0" w:color="auto"/>
        <w:bottom w:val="none" w:sz="0" w:space="0" w:color="auto"/>
        <w:right w:val="none" w:sz="0" w:space="0" w:color="auto"/>
      </w:divBdr>
    </w:div>
    <w:div w:id="521551629">
      <w:bodyDiv w:val="1"/>
      <w:marLeft w:val="0"/>
      <w:marRight w:val="0"/>
      <w:marTop w:val="0"/>
      <w:marBottom w:val="0"/>
      <w:divBdr>
        <w:top w:val="none" w:sz="0" w:space="0" w:color="auto"/>
        <w:left w:val="none" w:sz="0" w:space="0" w:color="auto"/>
        <w:bottom w:val="none" w:sz="0" w:space="0" w:color="auto"/>
        <w:right w:val="none" w:sz="0" w:space="0" w:color="auto"/>
      </w:divBdr>
    </w:div>
    <w:div w:id="1091660584">
      <w:bodyDiv w:val="1"/>
      <w:marLeft w:val="0"/>
      <w:marRight w:val="0"/>
      <w:marTop w:val="0"/>
      <w:marBottom w:val="0"/>
      <w:divBdr>
        <w:top w:val="none" w:sz="0" w:space="0" w:color="auto"/>
        <w:left w:val="none" w:sz="0" w:space="0" w:color="auto"/>
        <w:bottom w:val="none" w:sz="0" w:space="0" w:color="auto"/>
        <w:right w:val="none" w:sz="0" w:space="0" w:color="auto"/>
      </w:divBdr>
    </w:div>
    <w:div w:id="1162965652">
      <w:bodyDiv w:val="1"/>
      <w:marLeft w:val="0"/>
      <w:marRight w:val="0"/>
      <w:marTop w:val="0"/>
      <w:marBottom w:val="0"/>
      <w:divBdr>
        <w:top w:val="none" w:sz="0" w:space="0" w:color="auto"/>
        <w:left w:val="none" w:sz="0" w:space="0" w:color="auto"/>
        <w:bottom w:val="none" w:sz="0" w:space="0" w:color="auto"/>
        <w:right w:val="none" w:sz="0" w:space="0" w:color="auto"/>
      </w:divBdr>
    </w:div>
    <w:div w:id="1553346373">
      <w:bodyDiv w:val="1"/>
      <w:marLeft w:val="0"/>
      <w:marRight w:val="0"/>
      <w:marTop w:val="0"/>
      <w:marBottom w:val="0"/>
      <w:divBdr>
        <w:top w:val="none" w:sz="0" w:space="0" w:color="auto"/>
        <w:left w:val="none" w:sz="0" w:space="0" w:color="auto"/>
        <w:bottom w:val="none" w:sz="0" w:space="0" w:color="auto"/>
        <w:right w:val="none" w:sz="0" w:space="0" w:color="auto"/>
      </w:divBdr>
    </w:div>
    <w:div w:id="1770082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wissmedic.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Versanddokument MLP" ma:contentTypeID="0x01010075BA820FAC444B19A410D02C359AD8FA00C3D69A12201B5D4AABC360C94BDBFE80" ma:contentTypeVersion="4" ma:contentTypeDescription="" ma:contentTypeScope="" ma:versionID="e54e860fefb9cab3b78219c21d76bcbd">
  <xsd:schema xmlns:xsd="http://www.w3.org/2001/XMLSchema" xmlns:xs="http://www.w3.org/2001/XMLSchema" xmlns:p="http://schemas.microsoft.com/office/2006/metadata/properties" xmlns:ns2="c99bfaa0-eeee-460d-9991-3599c958bc46" targetNamespace="http://schemas.microsoft.com/office/2006/metadata/properties" ma:root="true" ma:fieldsID="74915975f780b12a9aaace2acde7bd18" ns2:_="">
    <xsd:import namespace="c99bfaa0-eeee-460d-9991-3599c958bc46"/>
    <xsd:element name="properties">
      <xsd:complexType>
        <xsd:sequence>
          <xsd:element name="documentManagement">
            <xsd:complexType>
              <xsd:all>
                <xsd:element ref="ns2:sdOriginDocumentUrl" minOccurs="0"/>
                <xsd:element ref="ns2:sdOriginDocumentVersion" minOccurs="0"/>
                <xsd:element ref="ns2:sdShipmentDocumentType" minOccurs="0"/>
                <xsd:element ref="ns2:sdShipmentDocumentResultType" minOccurs="0"/>
                <xsd:element ref="ns2:sdShipmentDoc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9bfaa0-eeee-460d-9991-3599c958bc46" elementFormDefault="qualified">
    <xsd:import namespace="http://schemas.microsoft.com/office/2006/documentManagement/types"/>
    <xsd:import namespace="http://schemas.microsoft.com/office/infopath/2007/PartnerControls"/>
    <xsd:element name="sdOriginDocumentUrl" ma:index="8" nillable="true" ma:displayName="Ursprungsdokument Url" ma:internalName="sdOriginDocumentUrl">
      <xsd:simpleType>
        <xsd:restriction base="dms:Text">
          <xsd:maxLength value="255"/>
        </xsd:restriction>
      </xsd:simpleType>
    </xsd:element>
    <xsd:element name="sdOriginDocumentVersion" ma:index="9" nillable="true" ma:displayName="Ursprungsdokument Version" ma:internalName="sdOriginDocumentVersion">
      <xsd:simpleType>
        <xsd:restriction base="dms:Text">
          <xsd:maxLength value="255"/>
        </xsd:restriction>
      </xsd:simpleType>
    </xsd:element>
    <xsd:element name="sdShipmentDocumentType" ma:index="10" nillable="true" ma:displayName="Dokument-Typ" ma:default="Enclosure" ma:format="Dropdown" ma:internalName="sdShipmentDocumentType">
      <xsd:simpleType>
        <xsd:restriction base="dms:Choice">
          <xsd:enumeration value="MainDocument"/>
          <xsd:enumeration value="CompiledDocument"/>
          <xsd:enumeration value="CompiledDocumentDigitallySigned"/>
          <xsd:enumeration value="CompiledDocumentFacsimileSignature"/>
          <xsd:enumeration value="Enclosure"/>
          <xsd:enumeration value="EnclosureAsPdf"/>
          <xsd:enumeration value="ExportManifest"/>
          <xsd:enumeration value="CompiledCoverLetter"/>
          <xsd:enumeration value="CompiledCertificate"/>
          <xsd:enumeration value="CompiledProductInfos"/>
          <xsd:enumeration value="Receipt"/>
        </xsd:restriction>
      </xsd:simpleType>
    </xsd:element>
    <xsd:element name="sdShipmentDocumentResultType" ma:index="11" nillable="true" ma:displayName="Dokument Ergebnistyp" ma:internalName="sdShipmentDocumentResultType">
      <xsd:simpleType>
        <xsd:restriction base="dms:Text">
          <xsd:maxLength value="255"/>
        </xsd:restriction>
      </xsd:simpleType>
    </xsd:element>
    <xsd:element name="sdShipmentDocumentStatus" ma:index="12" nillable="true" ma:displayName="Dokument Status" ma:internalName="sdShipmentDocument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dOriginDocumentUrl xmlns="c99bfaa0-eeee-460d-9991-3599c958bc46">https://dms.smcintra.ch/acc/1103031/Documents/Serviceaufträge/Geschäftsfälle Zulassung/102741841/Arzneimittelinformation/Fachinformation/FI an Firma_Hibiwash Lösung_VF.docx</sdOriginDocumentUrl>
    <sdShipmentDocumentType xmlns="c99bfaa0-eeee-460d-9991-3599c958bc46">Enclosure</sdShipmentDocumentType>
    <sdOriginDocumentVersion xmlns="c99bfaa0-eeee-460d-9991-3599c958bc46">2.0</sdOriginDocumentVersion>
    <sdShipmentDocumentStatus xmlns="c99bfaa0-eeee-460d-9991-3599c958bc46">approved</sdShipmentDocumentStatus>
    <sdShipmentDocumentResultType xmlns="c99bfaa0-eeee-460d-9991-3599c958bc46">Information for health care professionals</sdShipmentDocumentResult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81070-AD55-4261-809D-2DDDE8474974}">
  <ds:schemaRefs>
    <ds:schemaRef ds:uri="http://schemas.microsoft.com/sharepoint/events"/>
  </ds:schemaRefs>
</ds:datastoreItem>
</file>

<file path=customXml/itemProps2.xml><?xml version="1.0" encoding="utf-8"?>
<ds:datastoreItem xmlns:ds="http://schemas.openxmlformats.org/officeDocument/2006/customXml" ds:itemID="{23E92617-E2B6-4C41-AA0B-D15F56CDF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9bfaa0-eeee-460d-9991-3599c958b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FD063E-754C-4578-A942-669CD50D73CA}">
  <ds:schemaRefs>
    <ds:schemaRef ds:uri="http://schemas.microsoft.com/sharepoint/v3/contenttype/forms"/>
  </ds:schemaRefs>
</ds:datastoreItem>
</file>

<file path=customXml/itemProps4.xml><?xml version="1.0" encoding="utf-8"?>
<ds:datastoreItem xmlns:ds="http://schemas.openxmlformats.org/officeDocument/2006/customXml" ds:itemID="{01550E3A-D337-46AC-8ACF-0F3E6B453CBB}">
  <ds:schemaRefs>
    <ds:schemaRef ds:uri="http://schemas.microsoft.com/office/2006/metadata/properties"/>
    <ds:schemaRef ds:uri="http://schemas.microsoft.com/office/infopath/2007/PartnerControls"/>
    <ds:schemaRef ds:uri="c99bfaa0-eeee-460d-9991-3599c958bc46"/>
  </ds:schemaRefs>
</ds:datastoreItem>
</file>

<file path=customXml/itemProps5.xml><?xml version="1.0" encoding="utf-8"?>
<ds:datastoreItem xmlns:ds="http://schemas.openxmlformats.org/officeDocument/2006/customXml" ds:itemID="{307E4614-D405-4E0A-BAEB-73F78A89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1951</Words>
  <Characters>11511</Characters>
  <Application>Microsoft Office Word</Application>
  <DocSecurity>0</DocSecurity>
  <Lines>1918</Lines>
  <Paragraphs>1035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Documed AG</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medical-ls</dc:creator>
  <cp:keywords/>
  <dc:description/>
  <cp:lastModifiedBy>Amy Burnett</cp:lastModifiedBy>
  <cp:revision>5</cp:revision>
  <dcterms:created xsi:type="dcterms:W3CDTF">2026-03-09T14:16:00Z</dcterms:created>
  <dcterms:modified xsi:type="dcterms:W3CDTF">2026-10-07T14:51:00Z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0x01010075BA820FAC444B19A410D02C359AD8FA00C3D69A12201B5D4AABC360C94BDBFE80</vt:lpwstr>
  </property>
  <property fmtid="{D5CDD505-2E9C-101B-9397-08002B2CF9AE}" pid="3" name="sdOrderStatus">
    <vt:lpwstr>5;#Offen|008a0906-60eb-43c4-b03f-e4688b421f67</vt:lpwstr>
  </property>
  <property fmtid="{D5CDD505-2E9C-101B-9397-08002B2CF9AE}" pid="4" name="sdOrderType">
    <vt:lpwstr>17;#Geschäftsfälle Zulassung|ed530032-4f3a-4a58-8a2a-7c93dd55dbcf</vt:lpwstr>
  </property>
  <property fmtid="{D5CDD505-2E9C-101B-9397-08002B2CF9AE}" pid="5" name="_dlc_DocIdItemGuid">
    <vt:lpwstr>31c615e8-4ad4-46fc-b5d6-41476f35168a</vt:lpwstr>
  </property>
  <property fmtid="{D5CDD505-2E9C-101B-9397-08002B2CF9AE}" pid="6" name="sdCaseStatus">
    <vt:lpwstr/>
  </property>
  <property fmtid="{D5CDD505-2E9C-101B-9397-08002B2CF9AE}" pid="7" name="DocumentStatus">
    <vt:lpwstr>41;#genehmigt|ac5b851f-8968-475a-a86c-55c560216cc5</vt:lpwstr>
  </property>
  <property fmtid="{D5CDD505-2E9C-101B-9397-08002B2CF9AE}" pid="8" name="sdCaseType">
    <vt:lpwstr/>
  </property>
  <property fmtid="{D5CDD505-2E9C-101B-9397-08002B2CF9AE}" pid="9" name="ResultType">
    <vt:lpwstr>28;#Fachinformation|9f186d8c-a194-4d9c-9e78-abb37814aeab</vt:lpwstr>
  </property>
  <property fmtid="{D5CDD505-2E9C-101B-9397-08002B2CF9AE}" pid="10" name="sdShipmentIsPaperSourceCover">
    <vt:bool>false</vt:bool>
  </property>
  <property fmtid="{D5CDD505-2E9C-101B-9397-08002B2CF9AE}" pid="11" name="_dlc_DocId">
    <vt:lpwstr>205-1776341631-8852</vt:lpwstr>
  </property>
  <property fmtid="{D5CDD505-2E9C-101B-9397-08002B2CF9AE}" pid="12" name="_dlc_DocIdUrl">
    <vt:lpwstr>https://dms.smcintra.ch/out/205/_layouts/15/DocIdRedir.aspx?ID=205-1776341631-8852, 205-1776341631-8852</vt:lpwstr>
  </property>
  <property fmtid="{D5CDD505-2E9C-101B-9397-08002B2CF9AE}" pid="13" name="sdShipmentIsCertificate">
    <vt:bool>false</vt:bool>
  </property>
  <property fmtid="{D5CDD505-2E9C-101B-9397-08002B2CF9AE}" pid="14" name="MediaServiceImageTags">
    <vt:lpwstr/>
  </property>
  <property fmtid="{D5CDD505-2E9C-101B-9397-08002B2CF9AE}" pid="15" name="MSIP_Label_70dd258f-95d6-4cd2-8dc1-d68efb8514fa_Enabled">
    <vt:lpwstr>true</vt:lpwstr>
  </property>
  <property fmtid="{D5CDD505-2E9C-101B-9397-08002B2CF9AE}" pid="16" name="MSIP_Label_70dd258f-95d6-4cd2-8dc1-d68efb8514fa_SetDate">
    <vt:lpwstr>2025-10-20T16:18:44Z</vt:lpwstr>
  </property>
  <property fmtid="{D5CDD505-2E9C-101B-9397-08002B2CF9AE}" pid="17" name="MSIP_Label_70dd258f-95d6-4cd2-8dc1-d68efb8514fa_Method">
    <vt:lpwstr>Standard</vt:lpwstr>
  </property>
  <property fmtid="{D5CDD505-2E9C-101B-9397-08002B2CF9AE}" pid="18" name="MSIP_Label_70dd258f-95d6-4cd2-8dc1-d68efb8514fa_Name">
    <vt:lpwstr>defa4170-0d19-0005-0001-bc88714345d2</vt:lpwstr>
  </property>
  <property fmtid="{D5CDD505-2E9C-101B-9397-08002B2CF9AE}" pid="19" name="MSIP_Label_70dd258f-95d6-4cd2-8dc1-d68efb8514fa_SiteId">
    <vt:lpwstr>8e0ef8aa-e817-492c-b729-5b9ae95afc58</vt:lpwstr>
  </property>
  <property fmtid="{D5CDD505-2E9C-101B-9397-08002B2CF9AE}" pid="20" name="MSIP_Label_70dd258f-95d6-4cd2-8dc1-d68efb8514fa_ActionId">
    <vt:lpwstr>b0fe6214-e07c-4f75-85a6-aef1ffff9e83</vt:lpwstr>
  </property>
  <property fmtid="{D5CDD505-2E9C-101B-9397-08002B2CF9AE}" pid="21" name="MSIP_Label_70dd258f-95d6-4cd2-8dc1-d68efb8514fa_ContentBits">
    <vt:lpwstr>0</vt:lpwstr>
  </property>
  <property fmtid="{D5CDD505-2E9C-101B-9397-08002B2CF9AE}" pid="22" name="MSIP_Label_70dd258f-95d6-4cd2-8dc1-d68efb8514fa_Tag">
    <vt:lpwstr>10, 3, 0, 1</vt:lpwstr>
  </property>
  <property fmtid="{D5CDD505-2E9C-101B-9397-08002B2CF9AE}" pid="23" name="Order">
    <vt:r8>137600</vt:r8>
  </property>
  <property fmtid="{D5CDD505-2E9C-101B-9397-08002B2CF9AE}" pid="24" name="sdScanStatus">
    <vt:lpwstr/>
  </property>
  <property fmtid="{D5CDD505-2E9C-101B-9397-08002B2CF9AE}" pid="25" name="DocumentSetDescription">
    <vt:lpwstr/>
  </property>
  <property fmtid="{D5CDD505-2E9C-101B-9397-08002B2CF9AE}" pid="26" name="xd_ProgID">
    <vt:lpwstr/>
  </property>
  <property fmtid="{D5CDD505-2E9C-101B-9397-08002B2CF9AE}" pid="27" name="TemplateUrl">
    <vt:lpwstr/>
  </property>
  <property fmtid="{D5CDD505-2E9C-101B-9397-08002B2CF9AE}" pid="28" name="sdDatamatrixCodeContent">
    <vt:lpwstr/>
  </property>
  <property fmtid="{D5CDD505-2E9C-101B-9397-08002B2CF9AE}" pid="29" name="DocumentStatus_0">
    <vt:lpwstr>genehmigt|ac5b851f-8968-475a-a86c-55c560216cc5</vt:lpwstr>
  </property>
  <property fmtid="{D5CDD505-2E9C-101B-9397-08002B2CF9AE}" pid="30" name="DocumentStatus_1">
    <vt:lpwstr/>
  </property>
  <property fmtid="{D5CDD505-2E9C-101B-9397-08002B2CF9AE}" pid="31" name="MSIP_Label_2d2590dc-4aed-4200-b94f-e76648f39b3b_Enabled">
    <vt:lpwstr>true</vt:lpwstr>
  </property>
  <property fmtid="{D5CDD505-2E9C-101B-9397-08002B2CF9AE}" pid="32" name="MSIP_Label_2d2590dc-4aed-4200-b94f-e76648f39b3b_SetDate">
    <vt:lpwstr>2026-07-21T10:35:38Z</vt:lpwstr>
  </property>
  <property fmtid="{D5CDD505-2E9C-101B-9397-08002B2CF9AE}" pid="33" name="MSIP_Label_2d2590dc-4aed-4200-b94f-e76648f39b3b_Method">
    <vt:lpwstr>Standard</vt:lpwstr>
  </property>
  <property fmtid="{D5CDD505-2E9C-101B-9397-08002B2CF9AE}" pid="34" name="MSIP_Label_2d2590dc-4aed-4200-b94f-e76648f39b3b_Name">
    <vt:lpwstr>GLO_Internal</vt:lpwstr>
  </property>
  <property fmtid="{D5CDD505-2E9C-101B-9397-08002B2CF9AE}" pid="35" name="MSIP_Label_2d2590dc-4aed-4200-b94f-e76648f39b3b_SiteId">
    <vt:lpwstr>4d3f6608-ec8c-4b1f-9484-274a4b699efb</vt:lpwstr>
  </property>
  <property fmtid="{D5CDD505-2E9C-101B-9397-08002B2CF9AE}" pid="36" name="MSIP_Label_2d2590dc-4aed-4200-b94f-e76648f39b3b_ActionId">
    <vt:lpwstr>be3c39de-44f0-473f-a9ef-6c7563f5f0c6</vt:lpwstr>
  </property>
  <property fmtid="{D5CDD505-2E9C-101B-9397-08002B2CF9AE}" pid="37" name="MSIP_Label_2d2590dc-4aed-4200-b94f-e76648f39b3b_ContentBits">
    <vt:lpwstr>0</vt:lpwstr>
  </property>
  <property fmtid="{D5CDD505-2E9C-101B-9397-08002B2CF9AE}" pid="38" name="MSIP_Label_2d2590dc-4aed-4200-b94f-e76648f39b3b_Tag">
    <vt:lpwstr>10, 3, 0, 1</vt:lpwstr>
  </property>
</Properties>
</file>